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Huaiyuan Investment Group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gRr5AwIAAPkDAAAOAAAAZHJzL2Uyb0RvYy54bWysU8mOGyEQvUfKPyDucXsbb3J75MzIUSQrM5IT5YxpcCMBRQC72/n6FHhVMqdRLlDwilpePeaPrdHkIHxQYEva63QpEZZDpeyupD++rz5NKAmR2YppsKKkRxHo4+Ljh3njZqIPNehKeIJBbJg1rqR1jG5WFIHXwrDQAScsghK8YRGPfldUnjUY3eii3+2OigZ85TxwEQLePp9AusjxpRQ8vkgZRCS6pFhbzKvP6zatxWLOZjvPXK34uQz2jioMUxaTXkM9s8jI3qt/QhnFPQSQscPBFCCl4iL3gN30un91s6mZE7kXJCe4K03h/4Xl3w4b9+pJbD9DiwNMhDQuzAJepn5a6U3asVKCOFJ4vNIm2kg4Xo7G0+FgMKWEIzYZDSfjzGtxe+18iF8EGJKMknocS2aLHdYhYkZ0vbikZBZWSus8Gm1JgxkGD9384IrgC23x4a3WZMV22xJVlbR/6WML1RHb83CafHB8pbCGNQvxlXkcNXaE8o0vuEgNmAvOFiU1+N9v3Sd/nACilDQonZKGX3vmBSX6q8XZTHvDYdJaPgwfxn08+Htke4/YvXkCVGcPP4rj2Uz+UV9M6cH8RJUvU1aEmOWYu6TxYj7Fk6Dxl3CxXGYnVJdjcW03jqfQJ1aX+whSZcITWyduziSivvIczn8hCfj+nL1uP3bxBwAA//8DAFBLAwQUAAYACAAAACEA80ACjd4AAAAJAQAADwAAAGRycy9kb3ducmV2LnhtbEyPzU7DMBCE70i8g7VI3KjTCKoS4lRVpAoJwaGlF26b2E2i2usQu23g6dmc6Gl/ZjT7bb4anRVnM4TOk4L5LAFhqPa6o0bB/nPzsAQRIpJG68ko+DEBVsXtTY6Z9hfamvMuNoJDKGSooI2xz6QMdWschpnvDbF28IPDyOPQSD3ghcOdlWmSLKTDjvhCi70pW1Mfdyen4K3cfOC2St3y15av74d1/73/elLq/m5cv4CIZoz/ZpjwGR0KZqr8iXQQVgGns1PBgsskJ8/TouLuMU1BFrm8/qD4AwAA//8DAFBLAQItABQABgAIAAAAIQC2gziS/gAAAOEBAAATAAAAAAAAAAAAAAAAAAAAAABbQ29udGVudF9UeXBlc10ueG1sUEsBAi0AFAAGAAgAAAAhADj9If/WAAAAlAEAAAsAAAAAAAAAAAAAAAAALwEAAF9yZWxzLy5yZWxzUEsBAi0AFAAGAAgAAAAhAGCBGvkDAgAA+QMAAA4AAAAAAAAAAAAAAAAALgIAAGRycy9lMm9Eb2MueG1sUEsBAi0AFAAGAAgAAAAhAPNAAo3eAAAACQEAAA8AAAAAAAAAAAAAAAAAXQQAAGRycy9kb3ducmV2LnhtbFBLBQYAAAAABAAEAPMAAABoBQAAAAA="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id="文本框 8" o:spid="_x0000_s1028" stroked="f" strokeweight=".5pt" filled="f">
                <v:textbox>
                  <w:txbxContent>
                    <w:p w:rsidR="00692F67" w:rsidRDefault="00F72557" w14:paraId="3DD135AF" w14:textId="1BF08C9F">
                      <w:pPr>
                        <w:spacing w:line="600" w:lineRule="exact"/>
                        <w:rPr>
                          <w:rFonts w:ascii="Calibri" w:hAnsi="Calibri" w:eastAsia="HarmonyOS Sans SC Black" w:cs="Calibri"/>
                          <w:b/>
                          <w:bCs/>
                          <w:sz w:val="62"/>
                          <w:szCs w:val="62"/>
                          <w:lang w:val="en-GB"/>
                        </w:rPr>
                      </w:pPr>
                      <w:r>
                        <w:rPr>
                          <w:rFonts w:ascii="Calibri" w:hAnsi="Calibri" w:eastAsia="Calibri" w:cs="Calibri"/>
                          <w:b/>
                          <w:sz w:val="62"/>
                          <w:szCs w:val="62"/>
                        </w:rPr>
                        <w:t>Huaiyuan Investment Group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怀远投资集团有限公司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怀远投资集团有限公司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667373A4"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Huaiyuan Investment Group Co., Ltd. Green Finance Framework, assessing its alignment with the GBP2021 (with 2022 Appendix I) and GLP2023, relevance to the </w:t>
                            </w:r>
                            <w:r w:rsidR="006746CB">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Huaiyuan Investment Group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A508FA2" id="_x0000_t202" coordsize="21600,21600" o:spt="202" path="m,l,21600r21600,l21600,xe">
                <v:stroke joinstyle="miter"/>
                <v:path gradientshapeok="t" o:connecttype="rect"/>
              </v:shapetype>
              <v:shape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667373A4"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Huaiyuan Investment Group Co., Ltd. Green Finance Framework, assessing its alignment with the GBP2021 (with 2022 Appendix I) and GLP2023, relevance to the </w:t>
                      </w:r>
                      <w:r w:rsidR="006746CB">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Huaiyuan Investment Group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Anhui,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Anhui,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23, 2024</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Dec 23,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A37975" w:rsidP="003325E2">
      <w:pPr>
        <w:spacing w:beforeLines="50" w:before="163" w:after="160"/>
        <w:jc w:val="both"/>
        <w:rPr>
          <w:rFonts w:ascii="Calibri" w:hAnsi="Calibri" w:cs="Calibri"/>
          <w:b/>
          <w:bCs/>
        </w:rPr>
      </w:pPr>
      <w:r>
        <w:rPr>
          <w:rFonts w:ascii="Calibri" w:hAnsi="Calibri" w:cs="Calibri"/>
          <w:b/>
        </w:rPr>
        <w:t xml:space="preserve">CCXGFI has provided a SPO on Huaiyuan Investment Group Co., Ltd. Green Finance Framework (the “Green Finance Framework” or “Framework”) with reference to the </w:t>
      </w:r>
      <w:r>
        <w:rPr>
          <w:rFonts w:ascii="Calibri" w:hAnsi="Calibri" w:cs="Calibri"/>
          <w:b/>
        </w:rPr>
        <w:t>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5984316F" w14:textId="77777777" w:rsidR="00593906" w:rsidRDefault="00A37975">
      <w:pPr>
        <w:numPr>
          <w:ilvl w:val="0"/>
          <w:numId w:val="3"/>
        </w:numPr>
      </w:pPr>
      <w:r>
        <w:rPr>
          <w:rFonts w:ascii="Calibri" w:hAnsi="Calibri" w:cs="Calibri"/>
        </w:rPr>
        <w:t>GBP2021: Green Bond Principles 2021 (with June 2022 Appendix I) by ICMA</w:t>
      </w:r>
    </w:p>
    <w:p w14:paraId="3F695D2B" w14:textId="77777777" w:rsidR="00593906" w:rsidRDefault="00A37975">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48281F66" w14:textId="77777777" w:rsidR="00593906" w:rsidRDefault="00A37975">
      <w:pPr>
        <w:spacing w:beforeLines="50" w:before="163" w:after="160"/>
        <w:jc w:val="both"/>
      </w:pPr>
      <w:r>
        <w:rPr>
          <w:rFonts w:ascii="Calibri" w:hAnsi="Calibri" w:cs="Calibri"/>
        </w:rPr>
        <w:t xml:space="preserve">Huaiyuan Investment Group Co., Ltd. (the “Group”) is a key state-owned entity for </w:t>
      </w:r>
      <w:r>
        <w:rPr>
          <w:rFonts w:ascii="Calibri" w:hAnsi="Calibri" w:cs="Calibri"/>
        </w:rPr>
        <w:t>infrastructure construction and state-owned assets operation in Huaiyuan County, Bengbu City. Since its establishment in 2018, the Group has played an important role in the urban development, and social and economic advancement of Huaiyuan County by undert</w:t>
      </w:r>
      <w:r>
        <w:rPr>
          <w:rFonts w:ascii="Calibri" w:hAnsi="Calibri" w:cs="Calibri"/>
        </w:rPr>
        <w:t>aking a number of strategically important urban infrastructure construction and public facilities improvement projects. In recent years, Huaiyuan County has experienced rapid economic development and strong fiscal capabilities, providing a favorable enviro</w:t>
      </w:r>
      <w:r>
        <w:rPr>
          <w:rFonts w:ascii="Calibri" w:hAnsi="Calibri" w:cs="Calibri"/>
        </w:rPr>
        <w:t>nment for the future business growth of the Group. The excellent locations of Huaiyuan County with great economic development potential have supported and will continue to support the business growth of the Group.</w:t>
      </w:r>
    </w:p>
    <w:p w14:paraId="464971A8" w14:textId="77777777" w:rsidR="00593906" w:rsidRDefault="00A37975">
      <w:pPr>
        <w:spacing w:beforeLines="50" w:before="163" w:after="160"/>
        <w:jc w:val="both"/>
      </w:pPr>
      <w:r>
        <w:rPr>
          <w:rFonts w:ascii="Calibri" w:hAnsi="Calibri" w:cs="Calibri"/>
        </w:rPr>
        <w:t xml:space="preserve">Over the years, the Group has developed a </w:t>
      </w:r>
      <w:r>
        <w:rPr>
          <w:rFonts w:ascii="Calibri" w:hAnsi="Calibri" w:cs="Calibri"/>
        </w:rPr>
        <w:t>well-diversified business portfolio covering infrastructure construction, engineering construction, real estate development, bridge operation, and commercial trading businesses.</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23807E52" w14:textId="77777777" w:rsidR="00593906" w:rsidRDefault="00A37975">
            <w:pPr>
              <w:numPr>
                <w:ilvl w:val="0"/>
                <w:numId w:val="2"/>
              </w:numPr>
              <w:jc w:val="both"/>
            </w:pPr>
            <w:r>
              <w:rPr>
                <w:rFonts w:ascii="Calibri" w:hAnsi="Calibri" w:cs="Calibri"/>
                <w:color w:val="0D381F"/>
              </w:rPr>
              <w:t xml:space="preserve">For </w:t>
            </w:r>
            <w:r>
              <w:rPr>
                <w:rFonts w:ascii="Calibri" w:hAnsi="Calibri" w:cs="Calibri"/>
                <w:color w:val="0D381F"/>
              </w:rPr>
              <w:t>Use of Proceeds, the Eligible Green Projects Category is Environmentally Sustainable Management of Living Natural Resources and Land Use.</w:t>
            </w:r>
          </w:p>
          <w:p w14:paraId="137AE3DD" w14:textId="77777777" w:rsidR="00593906" w:rsidRDefault="00A37975">
            <w:pPr>
              <w:numPr>
                <w:ilvl w:val="0"/>
                <w:numId w:val="2"/>
              </w:numPr>
              <w:jc w:val="both"/>
            </w:pPr>
            <w:r>
              <w:rPr>
                <w:rFonts w:ascii="Calibri" w:hAnsi="Calibri" w:cs="Calibri"/>
                <w:color w:val="0D381F"/>
              </w:rPr>
              <w:t xml:space="preserve">For Project Evaluation and Selection, the Group has built a well-established control structure with different </w:t>
            </w:r>
            <w:r>
              <w:rPr>
                <w:rFonts w:ascii="Calibri" w:hAnsi="Calibri" w:cs="Calibri"/>
                <w:color w:val="0D381F"/>
              </w:rPr>
              <w:t>business departments and set up a reasonable process for project evaluation and selection.</w:t>
            </w:r>
          </w:p>
          <w:p w14:paraId="6C84411E" w14:textId="77777777" w:rsidR="00593906" w:rsidRDefault="00A37975">
            <w:pPr>
              <w:numPr>
                <w:ilvl w:val="0"/>
                <w:numId w:val="2"/>
              </w:numPr>
              <w:jc w:val="both"/>
            </w:pPr>
            <w:r>
              <w:rPr>
                <w:rFonts w:ascii="Calibri" w:hAnsi="Calibri" w:cs="Calibri"/>
                <w:color w:val="0D381F"/>
              </w:rPr>
              <w:t>For Management of Proceeds, the proceeds from Green Financing Transactions (“GFT”) will be deposited in a general funding accounts and the Group will maintain a regi</w:t>
            </w:r>
            <w:r>
              <w:rPr>
                <w:rFonts w:ascii="Calibri" w:hAnsi="Calibri" w:cs="Calibri"/>
                <w:color w:val="0D381F"/>
              </w:rPr>
              <w:t>ster to keep track of the use of proceeds if depositing the proceeds in general funding accounts. The Green Financing Team (the “Team”) will ensure that projects no longer meeting the selection criteria detailed in the Framework will be removed and/or subs</w:t>
            </w:r>
            <w:r>
              <w:rPr>
                <w:rFonts w:ascii="Calibri" w:hAnsi="Calibri" w:cs="Calibri"/>
                <w:color w:val="0D381F"/>
              </w:rPr>
              <w:t>tituted on a best efforts basis throughout the life of the bond/loan. Also, the unallocated proceeds will be temporarily held on cash deposits or held in temporary placements.</w:t>
            </w:r>
          </w:p>
          <w:p w14:paraId="28C2FFB4" w14:textId="77777777" w:rsidR="00593906" w:rsidRDefault="00A37975">
            <w:pPr>
              <w:numPr>
                <w:ilvl w:val="0"/>
                <w:numId w:val="2"/>
              </w:numPr>
              <w:jc w:val="both"/>
            </w:pPr>
            <w:r>
              <w:rPr>
                <w:rFonts w:ascii="Calibri" w:hAnsi="Calibri" w:cs="Calibri"/>
                <w:color w:val="0D381F"/>
              </w:rPr>
              <w:t>For Reporting, the Group is committed to reporting the allocation of net proceed</w:t>
            </w:r>
            <w:r>
              <w:rPr>
                <w:rFonts w:ascii="Calibri" w:hAnsi="Calibri" w:cs="Calibri"/>
                <w:color w:val="0D381F"/>
              </w:rPr>
              <w:t>s at least annually until all the net proceeds are being allocated to Eligible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5BD87421" w14:textId="77777777" w:rsidR="00593906" w:rsidRDefault="00A37975">
            <w:r>
              <w:rPr>
                <w:noProof/>
              </w:rPr>
              <w:lastRenderedPageBreak/>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1"/>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477F6C3F" w14:textId="77777777" w:rsidR="00593906" w:rsidRDefault="00A37975">
            <w:pPr>
              <w:numPr>
                <w:ilvl w:val="0"/>
                <w:numId w:val="2"/>
              </w:numPr>
              <w:jc w:val="both"/>
            </w:pPr>
            <w:r>
              <w:rPr>
                <w:rFonts w:ascii="Calibri" w:hAnsi="Calibri" w:cs="Calibri"/>
                <w:color w:val="0D381F"/>
              </w:rPr>
              <w:t>CCXGFI has reviewed the Group’s Framework and evaluated the proposed use of proceeds.</w:t>
            </w:r>
          </w:p>
          <w:p w14:paraId="7E687FAE" w14:textId="77777777" w:rsidR="00593906" w:rsidRDefault="00A37975">
            <w:pPr>
              <w:numPr>
                <w:ilvl w:val="0"/>
                <w:numId w:val="2"/>
              </w:numPr>
              <w:jc w:val="both"/>
            </w:pPr>
            <w:r>
              <w:rPr>
                <w:rFonts w:ascii="Calibri" w:hAnsi="Calibri" w:cs="Calibri"/>
                <w:color w:val="0D381F"/>
              </w:rPr>
              <w:t>The investments in eligible category are anticipated to deliver significant environmental benefits while contributing to the ac</w:t>
            </w:r>
            <w:r>
              <w:rPr>
                <w:rFonts w:ascii="Calibri" w:hAnsi="Calibri" w:cs="Calibri"/>
                <w:color w:val="0D381F"/>
              </w:rPr>
              <w:t>hievement of several UN Sustainable Development Goals, specifically SDGs 12, 14 and 15. Additionally, the Group has identified a list of excluded project types based on the International Finance Corporation’s exclusion list.</w:t>
            </w:r>
          </w:p>
          <w:p w14:paraId="09F72B67" w14:textId="77777777" w:rsidR="00593906" w:rsidRDefault="00A37975">
            <w:pPr>
              <w:numPr>
                <w:ilvl w:val="0"/>
                <w:numId w:val="2"/>
              </w:numPr>
              <w:jc w:val="both"/>
            </w:pPr>
            <w:r>
              <w:rPr>
                <w:rFonts w:ascii="Calibri" w:hAnsi="Calibri" w:cs="Calibri"/>
                <w:color w:val="0D381F"/>
              </w:rPr>
              <w:t xml:space="preserve">CCXGFI is of the opinion </w:t>
            </w:r>
            <w:r>
              <w:rPr>
                <w:rFonts w:ascii="Calibri" w:hAnsi="Calibri" w:cs="Calibri"/>
                <w:color w:val="0D381F"/>
              </w:rPr>
              <w:t>that the use of proceeds is clearly defined and in good alignment with the relevant requirement of the GBP2021 (with June 2022 Appendix I) and GLP2023.</w:t>
            </w:r>
          </w:p>
        </w:tc>
      </w:tr>
    </w:tbl>
    <w:p w14:paraId="6A48C530" w14:textId="77777777" w:rsidR="00593906" w:rsidRDefault="00A37975">
      <w:pPr>
        <w:spacing w:beforeLines="50" w:before="163" w:after="160"/>
        <w:jc w:val="both"/>
      </w:pPr>
      <w:r>
        <w:rPr>
          <w:rFonts w:ascii="Calibri" w:hAnsi="Calibri" w:cs="Calibri"/>
        </w:rPr>
        <w:t xml:space="preserve">The Group will exclusively allocate an amount at least equivalent to the net proceeds of GFTs </w:t>
      </w:r>
      <w:r>
        <w:rPr>
          <w:rFonts w:ascii="Calibri" w:hAnsi="Calibri" w:cs="Calibri"/>
        </w:rPr>
        <w:t>issued under this Framework to finance or refinance, in whole or in part, new or existing projects which meet the eligibility criteria of the following eligible green projects categories, as defined in the Project Category table.</w:t>
      </w:r>
    </w:p>
    <w:p w14:paraId="04C1BA2D" w14:textId="77777777" w:rsidR="00593906" w:rsidRDefault="00A37975">
      <w:pPr>
        <w:spacing w:beforeLines="50" w:before="163" w:after="160"/>
        <w:jc w:val="both"/>
      </w:pPr>
      <w:r>
        <w:rPr>
          <w:rFonts w:ascii="Calibri" w:hAnsi="Calibri" w:cs="Calibri"/>
        </w:rPr>
        <w:t>The Group expects each iss</w:t>
      </w:r>
      <w:r>
        <w:rPr>
          <w:rFonts w:ascii="Calibri" w:hAnsi="Calibri" w:cs="Calibri"/>
        </w:rPr>
        <w:t xml:space="preserve">uance under this Framework to be fully allocated within XX months from the date of issuance/borrowing and on a best-efforts basis. A maximum of XX months look-back period would apply for refinanced projects. The proportion of financing and refinancing for </w:t>
      </w:r>
      <w:r>
        <w:rPr>
          <w:rFonts w:ascii="Calibri" w:hAnsi="Calibri" w:cs="Calibri"/>
        </w:rPr>
        <w:t>the eligible green projects will be disclosed in the Group’s allocation report.</w:t>
      </w:r>
    </w:p>
    <w:p w14:paraId="17100DDE" w14:textId="77777777" w:rsidR="00593906" w:rsidRDefault="00A37975">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w:t>
      </w:r>
      <w:r>
        <w:rPr>
          <w:rFonts w:ascii="Calibri" w:hAnsi="Calibri" w:cs="Calibri"/>
        </w:rPr>
        <w:t>ent.</w:t>
      </w:r>
    </w:p>
    <w:tbl>
      <w:tblPr>
        <w:tblW w:w="10440" w:type="dxa"/>
        <w:tblLook w:val="04A0" w:firstRow="1" w:lastRow="0" w:firstColumn="1" w:lastColumn="0" w:noHBand="0" w:noVBand="1"/>
      </w:tblPr>
      <w:tblGrid>
        <w:gridCol w:w="4143"/>
        <w:gridCol w:w="4913"/>
        <w:gridCol w:w="1384"/>
      </w:tblGrid>
      <w:tr w:rsidR="00593906" w14:paraId="0A020E8F" w14:textId="77777777">
        <w:tc>
          <w:tcPr>
            <w:tcW w:w="4000" w:type="dxa"/>
            <w:shd w:val="clear" w:color="auto" w:fill="316729"/>
            <w:vAlign w:val="center"/>
          </w:tcPr>
          <w:p w14:paraId="5DF0B5FE" w14:textId="77777777" w:rsidR="00593906" w:rsidRDefault="00A37975">
            <w:r>
              <w:rPr>
                <w:rFonts w:ascii="Calibri" w:hAnsi="Calibri" w:cs="Calibri"/>
                <w:b/>
                <w:color w:val="FFFFFF"/>
              </w:rPr>
              <w:t>Principles Requirement</w:t>
            </w:r>
          </w:p>
        </w:tc>
        <w:tc>
          <w:tcPr>
            <w:tcW w:w="4000" w:type="dxa"/>
            <w:shd w:val="clear" w:color="auto" w:fill="316729"/>
            <w:vAlign w:val="center"/>
          </w:tcPr>
          <w:p w14:paraId="7682C1E3" w14:textId="77777777" w:rsidR="00593906" w:rsidRDefault="00A37975">
            <w:r>
              <w:rPr>
                <w:rFonts w:ascii="Calibri" w:hAnsi="Calibri" w:cs="Calibri"/>
                <w:b/>
                <w:color w:val="FFFFFF"/>
              </w:rPr>
              <w:t>Factual Finding</w:t>
            </w:r>
          </w:p>
        </w:tc>
        <w:tc>
          <w:tcPr>
            <w:tcW w:w="2440" w:type="dxa"/>
            <w:shd w:val="clear" w:color="auto" w:fill="316729"/>
            <w:vAlign w:val="center"/>
          </w:tcPr>
          <w:p w14:paraId="115521E5" w14:textId="77777777" w:rsidR="00593906" w:rsidRDefault="00A37975">
            <w:r>
              <w:rPr>
                <w:rFonts w:ascii="Calibri" w:hAnsi="Calibri" w:cs="Calibri"/>
                <w:b/>
                <w:color w:val="FFFFFF"/>
              </w:rPr>
              <w:t>Alignment</w:t>
            </w:r>
          </w:p>
        </w:tc>
      </w:tr>
      <w:tr w:rsidR="00593906" w14:paraId="21942BC6" w14:textId="77777777">
        <w:tc>
          <w:tcPr>
            <w:tcW w:w="0" w:type="auto"/>
            <w:tcBorders>
              <w:bottom w:val="dotted" w:sz="3" w:space="0" w:color="275317"/>
            </w:tcBorders>
            <w:shd w:val="clear" w:color="auto" w:fill="F4F9EB"/>
            <w:vAlign w:val="center"/>
          </w:tcPr>
          <w:p w14:paraId="0BF5388D" w14:textId="77777777" w:rsidR="00593906" w:rsidRDefault="00A37975">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59874054" w14:textId="77777777" w:rsidR="00593906" w:rsidRDefault="00A37975">
            <w:pPr>
              <w:jc w:val="both"/>
            </w:pPr>
            <w:r>
              <w:rPr>
                <w:rFonts w:ascii="Calibri" w:hAnsi="Calibri" w:cs="Calibri"/>
                <w:color w:val="0D381F"/>
                <w:shd w:val="clear" w:color="auto" w:fill="F4F9EB"/>
              </w:rPr>
              <w:t>The eligible green projects listed in the Framework all have c</w:t>
            </w:r>
            <w:r>
              <w:rPr>
                <w:rFonts w:ascii="Calibri" w:hAnsi="Calibri" w:cs="Calibri"/>
                <w:color w:val="0D381F"/>
                <w:shd w:val="clear" w:color="auto" w:fill="F4F9EB"/>
              </w:rPr>
              <w:t>lear environmental benefits.</w:t>
            </w:r>
          </w:p>
        </w:tc>
        <w:tc>
          <w:tcPr>
            <w:tcW w:w="0" w:type="auto"/>
            <w:tcBorders>
              <w:bottom w:val="dotted" w:sz="3" w:space="0" w:color="275317"/>
            </w:tcBorders>
            <w:shd w:val="clear" w:color="auto" w:fill="F4F9EB"/>
            <w:vAlign w:val="center"/>
          </w:tcPr>
          <w:p w14:paraId="34BBBED1" w14:textId="77777777" w:rsidR="00593906" w:rsidRDefault="00A37975">
            <w:pPr>
              <w:jc w:val="center"/>
            </w:pPr>
            <w:r>
              <w:rPr>
                <w:rFonts w:ascii="Wingdings" w:hAnsi="Wingdings" w:cs="Wingdings"/>
                <w:color w:val="4EA72E"/>
                <w:sz w:val="36"/>
                <w:szCs w:val="36"/>
                <w:shd w:val="clear" w:color="auto" w:fill="F4F9EB"/>
              </w:rPr>
              <w:t>ü</w:t>
            </w:r>
          </w:p>
        </w:tc>
      </w:tr>
      <w:tr w:rsidR="00593906" w14:paraId="12937E32" w14:textId="77777777">
        <w:tc>
          <w:tcPr>
            <w:tcW w:w="0" w:type="auto"/>
            <w:tcBorders>
              <w:bottom w:val="dotted" w:sz="3" w:space="0" w:color="275317"/>
            </w:tcBorders>
            <w:shd w:val="clear" w:color="auto" w:fill="F4F9EB"/>
            <w:vAlign w:val="center"/>
          </w:tcPr>
          <w:p w14:paraId="4C600838" w14:textId="77777777" w:rsidR="00593906" w:rsidRDefault="00A37975">
            <w:pPr>
              <w:jc w:val="both"/>
            </w:pPr>
            <w:r>
              <w:rPr>
                <w:rFonts w:ascii="Calibri" w:hAnsi="Calibri" w:cs="Calibri"/>
                <w:color w:val="0D381F"/>
                <w:shd w:val="clear" w:color="auto" w:fill="F4F9EB"/>
              </w:rPr>
              <w:t>If 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1B283C84" w14:textId="77777777" w:rsidR="00593906" w:rsidRDefault="00A37975">
            <w:pPr>
              <w:jc w:val="both"/>
            </w:pPr>
            <w:r>
              <w:rPr>
                <w:rFonts w:ascii="Calibri" w:hAnsi="Calibri" w:cs="Calibri"/>
                <w:color w:val="0D381F"/>
                <w:shd w:val="clear" w:color="auto" w:fill="F4F9EB"/>
              </w:rPr>
              <w:t xml:space="preserve">The </w:t>
            </w:r>
            <w:r>
              <w:rPr>
                <w:rFonts w:ascii="Calibri" w:hAnsi="Calibri" w:cs="Calibri"/>
                <w:color w:val="0D381F"/>
                <w:shd w:val="clear" w:color="auto" w:fill="F4F9EB"/>
              </w:rPr>
              <w:t>Framework has declared that the net use of proceeds will exclusively finance and/or refinance, in part or in full, projects under the listed categories with a look-back period of no longer than xx months from the time of issuance, and the Group will provid</w:t>
            </w:r>
            <w:r>
              <w:rPr>
                <w:rFonts w:ascii="Calibri" w:hAnsi="Calibri" w:cs="Calibri"/>
                <w:color w:val="0D381F"/>
                <w:shd w:val="clear" w:color="auto" w:fill="F4F9EB"/>
              </w:rPr>
              <w:t>e an estimate of the share of financing vs. re-financing.</w:t>
            </w:r>
          </w:p>
        </w:tc>
        <w:tc>
          <w:tcPr>
            <w:tcW w:w="0" w:type="auto"/>
            <w:tcBorders>
              <w:bottom w:val="dotted" w:sz="3" w:space="0" w:color="275317"/>
            </w:tcBorders>
            <w:shd w:val="clear" w:color="auto" w:fill="F4F9EB"/>
            <w:vAlign w:val="center"/>
          </w:tcPr>
          <w:p w14:paraId="71A64434" w14:textId="77777777" w:rsidR="00593906" w:rsidRDefault="00A37975">
            <w:pPr>
              <w:jc w:val="center"/>
            </w:pPr>
            <w:r>
              <w:rPr>
                <w:rFonts w:ascii="Wingdings" w:hAnsi="Wingdings" w:cs="Wingdings"/>
                <w:color w:val="4EA72E"/>
                <w:sz w:val="36"/>
                <w:szCs w:val="36"/>
                <w:shd w:val="clear" w:color="auto" w:fill="F4F9EB"/>
              </w:rPr>
              <w:t>ü</w:t>
            </w:r>
          </w:p>
        </w:tc>
      </w:tr>
      <w:tr w:rsidR="00593906" w14:paraId="05A3F125" w14:textId="77777777">
        <w:tc>
          <w:tcPr>
            <w:tcW w:w="0" w:type="auto"/>
            <w:tcBorders>
              <w:bottom w:val="dotted" w:sz="3" w:space="0" w:color="275317"/>
            </w:tcBorders>
            <w:shd w:val="clear" w:color="auto" w:fill="F4F9EB"/>
            <w:vAlign w:val="center"/>
          </w:tcPr>
          <w:p w14:paraId="3F5D0F05" w14:textId="77777777" w:rsidR="00593906" w:rsidRDefault="00A37975">
            <w:pPr>
              <w:jc w:val="both"/>
            </w:pPr>
            <w:r>
              <w:rPr>
                <w:rFonts w:ascii="Calibri" w:hAnsi="Calibri" w:cs="Calibri"/>
                <w:color w:val="0D381F"/>
                <w:shd w:val="clear" w:color="auto" w:fill="F4F9EB"/>
              </w:rPr>
              <w:lastRenderedPageBreak/>
              <w:t>Green Projects should contribute to environmental objectives recognised by GBP/GLP.</w:t>
            </w:r>
          </w:p>
        </w:tc>
        <w:tc>
          <w:tcPr>
            <w:tcW w:w="0" w:type="auto"/>
            <w:tcBorders>
              <w:bottom w:val="dotted" w:sz="3" w:space="0" w:color="275317"/>
            </w:tcBorders>
            <w:shd w:val="clear" w:color="auto" w:fill="F4F9EB"/>
            <w:vAlign w:val="center"/>
          </w:tcPr>
          <w:p w14:paraId="7015F7E6" w14:textId="77777777" w:rsidR="00593906" w:rsidRDefault="00A37975">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15D41E87" w14:textId="77777777" w:rsidR="00593906" w:rsidRDefault="00A37975">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962"/>
        <w:gridCol w:w="4958"/>
        <w:gridCol w:w="1926"/>
        <w:gridCol w:w="1594"/>
      </w:tblGrid>
      <w:tr w:rsidR="00593906" w14:paraId="14608029" w14:textId="77777777">
        <w:tc>
          <w:tcPr>
            <w:tcW w:w="2000" w:type="dxa"/>
            <w:shd w:val="clear" w:color="auto" w:fill="316729"/>
            <w:vAlign w:val="center"/>
          </w:tcPr>
          <w:p w14:paraId="7D66D295" w14:textId="77777777" w:rsidR="00593906" w:rsidRDefault="00A37975">
            <w:pPr>
              <w:jc w:val="center"/>
            </w:pPr>
            <w:r>
              <w:rPr>
                <w:rFonts w:ascii="Calibri" w:hAnsi="Calibri" w:cs="Calibri"/>
                <w:b/>
                <w:color w:val="FFFFFF"/>
              </w:rPr>
              <w:t>Green Project Category</w:t>
            </w:r>
          </w:p>
        </w:tc>
        <w:tc>
          <w:tcPr>
            <w:tcW w:w="6000" w:type="dxa"/>
            <w:shd w:val="clear" w:color="auto" w:fill="316729"/>
            <w:vAlign w:val="center"/>
          </w:tcPr>
          <w:p w14:paraId="6CA99C88" w14:textId="77777777" w:rsidR="00593906" w:rsidRDefault="00A37975">
            <w:pPr>
              <w:jc w:val="center"/>
            </w:pPr>
            <w:r>
              <w:rPr>
                <w:rFonts w:ascii="Calibri" w:hAnsi="Calibri" w:cs="Calibri"/>
                <w:b/>
                <w:color w:val="FFFFFF"/>
              </w:rPr>
              <w:t>E</w:t>
            </w:r>
            <w:r>
              <w:rPr>
                <w:rFonts w:ascii="Calibri" w:hAnsi="Calibri" w:cs="Calibri"/>
                <w:b/>
                <w:color w:val="FFFFFF"/>
              </w:rPr>
              <w:t>ligible Projects Technical Screening Criteria</w:t>
            </w:r>
          </w:p>
        </w:tc>
        <w:tc>
          <w:tcPr>
            <w:tcW w:w="2000" w:type="dxa"/>
            <w:shd w:val="clear" w:color="auto" w:fill="316729"/>
            <w:vAlign w:val="center"/>
          </w:tcPr>
          <w:p w14:paraId="41E6F7BB" w14:textId="77777777" w:rsidR="00593906" w:rsidRDefault="00A37975">
            <w:pPr>
              <w:jc w:val="center"/>
            </w:pPr>
            <w:r>
              <w:rPr>
                <w:rFonts w:ascii="Calibri" w:hAnsi="Calibri" w:cs="Calibri"/>
                <w:b/>
                <w:color w:val="FFFFFF"/>
              </w:rPr>
              <w:t>Identified Objective</w:t>
            </w:r>
          </w:p>
        </w:tc>
        <w:tc>
          <w:tcPr>
            <w:tcW w:w="1488" w:type="dxa"/>
            <w:shd w:val="clear" w:color="auto" w:fill="316729"/>
            <w:vAlign w:val="center"/>
          </w:tcPr>
          <w:p w14:paraId="54BA912E" w14:textId="77777777" w:rsidR="00593906" w:rsidRDefault="00A37975">
            <w:pPr>
              <w:jc w:val="center"/>
            </w:pPr>
            <w:r>
              <w:rPr>
                <w:rFonts w:ascii="Calibri" w:hAnsi="Calibri" w:cs="Calibri"/>
                <w:b/>
                <w:color w:val="FFFFFF"/>
              </w:rPr>
              <w:t>Alignment</w:t>
            </w:r>
          </w:p>
        </w:tc>
      </w:tr>
      <w:tr w:rsidR="00593906" w14:paraId="50DD59A2" w14:textId="77777777">
        <w:tc>
          <w:tcPr>
            <w:tcW w:w="2000" w:type="dxa"/>
            <w:shd w:val="clear" w:color="auto" w:fill="F4F9EB"/>
            <w:vAlign w:val="center"/>
          </w:tcPr>
          <w:p w14:paraId="55214E54" w14:textId="77777777" w:rsidR="00593906" w:rsidRDefault="00A37975">
            <w:pPr>
              <w:jc w:val="center"/>
            </w:pPr>
            <w:r>
              <w:rPr>
                <w:rFonts w:ascii="Calibri" w:hAnsi="Calibri" w:cs="Calibri"/>
                <w:b/>
                <w:color w:val="0D381F"/>
              </w:rPr>
              <w:t>Environmentally Sustainable Management of Living Natural Resources and Land Use</w:t>
            </w:r>
          </w:p>
          <w:p w14:paraId="79C6D783" w14:textId="77777777" w:rsidR="00593906" w:rsidRDefault="00593906">
            <w:pPr>
              <w:jc w:val="center"/>
            </w:pPr>
          </w:p>
          <w:p w14:paraId="5C46A51D" w14:textId="77777777" w:rsidR="00593906" w:rsidRDefault="00A37975">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1D39325D" w14:textId="77777777" w:rsidR="00593906" w:rsidRDefault="00A37975">
            <w:pPr>
              <w:numPr>
                <w:ilvl w:val="0"/>
                <w:numId w:val="2"/>
              </w:numPr>
              <w:ind w:left="240" w:hanging="300"/>
            </w:pPr>
            <w:r>
              <w:rPr>
                <w:rFonts w:ascii="Calibri" w:hAnsi="Calibri" w:cs="Calibri"/>
                <w:color w:val="0D381F"/>
                <w:shd w:val="clear" w:color="auto" w:fill="F4F9EB"/>
              </w:rPr>
              <w:t xml:space="preserve">Investment, acquisition, and expenditures related to the construction, operation, and </w:t>
            </w:r>
            <w:r>
              <w:rPr>
                <w:rFonts w:ascii="Calibri" w:hAnsi="Calibri" w:cs="Calibri"/>
                <w:color w:val="0D381F"/>
                <w:shd w:val="clear" w:color="auto" w:fill="F4F9EB"/>
              </w:rPr>
              <w:t>maintenance of the implementation of sustainable agricultural and aquaculture practices, including but not limited to environmentally friendly farming systems, integrated fishery and crop cultivation, land formation, soil improvement, and advanced water co</w:t>
            </w:r>
            <w:r>
              <w:rPr>
                <w:rFonts w:ascii="Calibri" w:hAnsi="Calibri" w:cs="Calibri"/>
                <w:color w:val="0D381F"/>
                <w:shd w:val="clear" w:color="auto" w:fill="F4F9EB"/>
              </w:rPr>
              <w:t>nservancy (irrigation and drainage)</w:t>
            </w:r>
          </w:p>
          <w:p w14:paraId="364DD1AF" w14:textId="77777777" w:rsidR="00593906" w:rsidRDefault="00A37975">
            <w:pPr>
              <w:numPr>
                <w:ilvl w:val="0"/>
                <w:numId w:val="2"/>
              </w:numPr>
              <w:ind w:left="240" w:hanging="300"/>
            </w:pPr>
            <w:r>
              <w:rPr>
                <w:rFonts w:ascii="Calibri" w:hAnsi="Calibri" w:cs="Calibri"/>
                <w:color w:val="0D381F"/>
                <w:shd w:val="clear" w:color="auto" w:fill="F4F9EB"/>
              </w:rPr>
              <w:t>Construction and maintenance of facilities and systems for ecological preservation and resource efficiency, including but not limited to water recycling systems, ecological dredging projects, and sustainable irrigation n</w:t>
            </w:r>
            <w:r>
              <w:rPr>
                <w:rFonts w:ascii="Calibri" w:hAnsi="Calibri" w:cs="Calibri"/>
                <w:color w:val="0D381F"/>
                <w:shd w:val="clear" w:color="auto" w:fill="F4F9EB"/>
              </w:rPr>
              <w:t>etworks</w:t>
            </w:r>
          </w:p>
          <w:p w14:paraId="6271ED61" w14:textId="77777777" w:rsidR="00593906" w:rsidRDefault="00A37975">
            <w:pPr>
              <w:numPr>
                <w:ilvl w:val="0"/>
                <w:numId w:val="3"/>
              </w:numPr>
              <w:ind w:left="520" w:hanging="300"/>
            </w:pPr>
            <w:r>
              <w:rPr>
                <w:rFonts w:ascii="Calibri" w:hAnsi="Calibri" w:cs="Calibri"/>
                <w:color w:val="0D381F"/>
                <w:shd w:val="clear" w:color="auto" w:fill="F4F9EB"/>
              </w:rPr>
              <w:t>Examples would include but not be limited to water purification facilities, sustainable aquaculture ponds, and soil restoration initiatives to enhance land productivity</w:t>
            </w:r>
          </w:p>
        </w:tc>
        <w:tc>
          <w:tcPr>
            <w:tcW w:w="2000" w:type="dxa"/>
            <w:shd w:val="clear" w:color="auto" w:fill="F4F9EB"/>
            <w:vAlign w:val="center"/>
          </w:tcPr>
          <w:p w14:paraId="47AC9507" w14:textId="77777777" w:rsidR="00593906" w:rsidRDefault="00A37975">
            <w:pPr>
              <w:numPr>
                <w:ilvl w:val="0"/>
                <w:numId w:val="2"/>
              </w:numPr>
              <w:ind w:left="240" w:hanging="300"/>
            </w:pPr>
            <w:r>
              <w:rPr>
                <w:rFonts w:ascii="Calibri" w:hAnsi="Calibri" w:cs="Calibri"/>
                <w:color w:val="0D381F"/>
                <w:shd w:val="clear" w:color="auto" w:fill="F4F9EB"/>
              </w:rPr>
              <w:t>Biodiversity conservation</w:t>
            </w:r>
          </w:p>
          <w:p w14:paraId="42DE11DF" w14:textId="77777777" w:rsidR="00593906" w:rsidRDefault="00A37975">
            <w:pPr>
              <w:numPr>
                <w:ilvl w:val="0"/>
                <w:numId w:val="2"/>
              </w:numPr>
              <w:ind w:left="240" w:hanging="300"/>
            </w:pPr>
            <w:r>
              <w:rPr>
                <w:rFonts w:ascii="Calibri" w:hAnsi="Calibri" w:cs="Calibri"/>
                <w:color w:val="0D381F"/>
                <w:shd w:val="clear" w:color="auto" w:fill="F4F9EB"/>
              </w:rPr>
              <w:t>Natural resource conservation</w:t>
            </w:r>
          </w:p>
        </w:tc>
        <w:tc>
          <w:tcPr>
            <w:tcW w:w="1488" w:type="dxa"/>
            <w:shd w:val="clear" w:color="auto" w:fill="F4F9EB"/>
            <w:vAlign w:val="center"/>
          </w:tcPr>
          <w:p w14:paraId="5C607A2B" w14:textId="77777777" w:rsidR="00593906" w:rsidRDefault="00A37975">
            <w:pPr>
              <w:numPr>
                <w:ilvl w:val="0"/>
                <w:numId w:val="2"/>
              </w:numPr>
              <w:ind w:left="240" w:hanging="300"/>
            </w:pPr>
            <w:r>
              <w:rPr>
                <w:rFonts w:ascii="Calibri" w:hAnsi="Calibri" w:cs="Calibri"/>
                <w:color w:val="0D381F"/>
                <w:shd w:val="clear" w:color="auto" w:fill="F4F9EB"/>
              </w:rPr>
              <w:t>GBP2021</w:t>
            </w:r>
          </w:p>
          <w:p w14:paraId="7C3B9B82" w14:textId="77777777" w:rsidR="00593906" w:rsidRDefault="00A37975">
            <w:pPr>
              <w:numPr>
                <w:ilvl w:val="0"/>
                <w:numId w:val="2"/>
              </w:numPr>
              <w:ind w:left="240" w:hanging="300"/>
            </w:pPr>
            <w:r>
              <w:rPr>
                <w:rFonts w:ascii="Calibri" w:hAnsi="Calibri" w:cs="Calibri"/>
                <w:color w:val="0D381F"/>
                <w:shd w:val="clear" w:color="auto" w:fill="F4F9EB"/>
              </w:rPr>
              <w:t>GLP2023</w:t>
            </w:r>
          </w:p>
          <w:p w14:paraId="15C9CCE8" w14:textId="77777777" w:rsidR="00593906" w:rsidRDefault="00A37975">
            <w:pPr>
              <w:numPr>
                <w:ilvl w:val="0"/>
                <w:numId w:val="2"/>
              </w:numPr>
              <w:ind w:left="240" w:hanging="300"/>
            </w:pPr>
            <w:r>
              <w:rPr>
                <w:rFonts w:ascii="Calibri" w:hAnsi="Calibri" w:cs="Calibri"/>
                <w:color w:val="0D381F"/>
                <w:shd w:val="clear" w:color="auto" w:fill="F4F9EB"/>
              </w:rPr>
              <w:t>GBEPC20</w:t>
            </w:r>
            <w:r>
              <w:rPr>
                <w:rFonts w:ascii="Calibri" w:hAnsi="Calibri" w:cs="Calibri"/>
                <w:color w:val="0D381F"/>
                <w:shd w:val="clear" w:color="auto" w:fill="F4F9EB"/>
              </w:rPr>
              <w:t>21 – 4.1.3.2</w:t>
            </w:r>
          </w:p>
          <w:p w14:paraId="79C68B5D" w14:textId="77777777" w:rsidR="00593906" w:rsidRDefault="00A37975">
            <w:pPr>
              <w:numPr>
                <w:ilvl w:val="0"/>
                <w:numId w:val="2"/>
              </w:numPr>
              <w:ind w:left="240" w:hanging="300"/>
            </w:pPr>
            <w:r>
              <w:rPr>
                <w:rFonts w:ascii="Calibri" w:hAnsi="Calibri" w:cs="Calibri"/>
                <w:color w:val="0D381F"/>
                <w:shd w:val="clear" w:color="auto" w:fill="F4F9EB"/>
              </w:rPr>
              <w:t>GBEPC2021 – 4.1.3.3</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56C47697" w14:textId="77777777" w:rsidR="00593906" w:rsidRDefault="00A37975">
      <w:pPr>
        <w:numPr>
          <w:ilvl w:val="0"/>
          <w:numId w:val="2"/>
        </w:numPr>
        <w:spacing w:beforeLines="50" w:before="163" w:after="160"/>
        <w:ind w:left="720"/>
        <w:jc w:val="both"/>
      </w:pPr>
      <w:r>
        <w:rPr>
          <w:rFonts w:ascii="Calibri" w:hAnsi="Calibri" w:cs="Calibri"/>
        </w:rPr>
        <w:t xml:space="preserve">Production or trade in any product or activity deemed illegal under host country laws or regulations or </w:t>
      </w:r>
      <w:r>
        <w:rPr>
          <w:rFonts w:ascii="Calibri" w:hAnsi="Calibri" w:cs="Calibri"/>
        </w:rPr>
        <w:t>international conventions and agreements, or subject to international bans, such as pharmaceuticals, pesticides/herbicides, ozone-depleting substances, polychlorinated biphenyls (PCBs), wildlife or products regulated under the Convention on International T</w:t>
      </w:r>
      <w:r>
        <w:rPr>
          <w:rFonts w:ascii="Calibri" w:hAnsi="Calibri" w:cs="Calibri"/>
        </w:rPr>
        <w:t>rade in Endangered Species of Wild Fauna and Flora (CITES).</w:t>
      </w:r>
    </w:p>
    <w:p w14:paraId="4A06576C" w14:textId="77777777" w:rsidR="00593906" w:rsidRDefault="00A37975">
      <w:pPr>
        <w:numPr>
          <w:ilvl w:val="0"/>
          <w:numId w:val="2"/>
        </w:numPr>
        <w:spacing w:beforeLines="50" w:before="163" w:after="160"/>
        <w:ind w:left="720"/>
        <w:jc w:val="both"/>
      </w:pPr>
      <w:r>
        <w:rPr>
          <w:rFonts w:ascii="Calibri" w:hAnsi="Calibri" w:cs="Calibri"/>
        </w:rPr>
        <w:t>Production or trade in weapons and munitions.</w:t>
      </w:r>
    </w:p>
    <w:p w14:paraId="70549888" w14:textId="77777777" w:rsidR="00593906" w:rsidRDefault="00A37975">
      <w:pPr>
        <w:numPr>
          <w:ilvl w:val="0"/>
          <w:numId w:val="2"/>
        </w:numPr>
        <w:spacing w:beforeLines="50" w:before="163" w:after="160"/>
        <w:ind w:left="720"/>
        <w:jc w:val="both"/>
      </w:pPr>
      <w:r>
        <w:rPr>
          <w:rFonts w:ascii="Calibri" w:hAnsi="Calibri" w:cs="Calibri"/>
        </w:rPr>
        <w:t>Production or trade in alcoholic beverages (excluding beer and wine).</w:t>
      </w:r>
    </w:p>
    <w:p w14:paraId="786C927D" w14:textId="77777777" w:rsidR="00593906" w:rsidRDefault="00A37975">
      <w:pPr>
        <w:numPr>
          <w:ilvl w:val="0"/>
          <w:numId w:val="2"/>
        </w:numPr>
        <w:spacing w:beforeLines="50" w:before="163" w:after="160"/>
        <w:ind w:left="720"/>
        <w:jc w:val="both"/>
      </w:pPr>
      <w:r>
        <w:rPr>
          <w:rFonts w:ascii="Calibri" w:hAnsi="Calibri" w:cs="Calibri"/>
        </w:rPr>
        <w:t>Production or trade in tobacco.</w:t>
      </w:r>
    </w:p>
    <w:p w14:paraId="783CB3A0" w14:textId="77777777" w:rsidR="00593906" w:rsidRDefault="00A37975">
      <w:pPr>
        <w:numPr>
          <w:ilvl w:val="0"/>
          <w:numId w:val="2"/>
        </w:numPr>
        <w:spacing w:beforeLines="50" w:before="163" w:after="160"/>
        <w:ind w:left="720"/>
        <w:jc w:val="both"/>
      </w:pPr>
      <w:r>
        <w:rPr>
          <w:rFonts w:ascii="Calibri" w:hAnsi="Calibri" w:cs="Calibri"/>
        </w:rPr>
        <w:t>Gambling, casinos, and equivalent enterprises.</w:t>
      </w:r>
    </w:p>
    <w:p w14:paraId="4BC408D2" w14:textId="77777777" w:rsidR="00593906" w:rsidRDefault="00A37975">
      <w:pPr>
        <w:numPr>
          <w:ilvl w:val="0"/>
          <w:numId w:val="2"/>
        </w:numPr>
        <w:spacing w:beforeLines="50" w:before="163" w:after="160"/>
        <w:ind w:left="720"/>
        <w:jc w:val="both"/>
      </w:pPr>
      <w:r>
        <w:rPr>
          <w:rFonts w:ascii="Calibri" w:hAnsi="Calibri" w:cs="Calibri"/>
        </w:rPr>
        <w:lastRenderedPageBreak/>
        <w:t>P</w:t>
      </w:r>
      <w:r>
        <w:rPr>
          <w:rFonts w:ascii="Calibri" w:hAnsi="Calibri" w:cs="Calibri"/>
        </w:rPr>
        <w:t>roduction or trade in radioactive materials. This does not apply to the purchase of medical equipment, quality control (measurement) equipment and any equipment where any international financial company considers the radioactive source to be trivial and/or</w:t>
      </w:r>
      <w:r>
        <w:rPr>
          <w:rFonts w:ascii="Calibri" w:hAnsi="Calibri" w:cs="Calibri"/>
        </w:rPr>
        <w:t xml:space="preserve"> adequately shielded.</w:t>
      </w:r>
    </w:p>
    <w:p w14:paraId="3A933855" w14:textId="77777777" w:rsidR="00593906" w:rsidRDefault="00A37975">
      <w:pPr>
        <w:numPr>
          <w:ilvl w:val="0"/>
          <w:numId w:val="2"/>
        </w:numPr>
        <w:spacing w:beforeLines="50" w:before="163" w:after="160"/>
        <w:ind w:left="720"/>
        <w:jc w:val="both"/>
      </w:pPr>
      <w:r>
        <w:rPr>
          <w:rFonts w:ascii="Calibri" w:hAnsi="Calibri" w:cs="Calibri"/>
        </w:rPr>
        <w:t>Production or trade in unbonded asbestos fibres. This does not apply to the purchase and use of bonded asbestos cement sheeting where the asbestos content is less than 20 percent.</w:t>
      </w:r>
    </w:p>
    <w:p w14:paraId="3CE4D8C4" w14:textId="77777777" w:rsidR="00593906" w:rsidRDefault="00A37975">
      <w:pPr>
        <w:numPr>
          <w:ilvl w:val="0"/>
          <w:numId w:val="2"/>
        </w:numPr>
        <w:spacing w:beforeLines="50" w:before="163" w:after="160"/>
        <w:ind w:left="720"/>
        <w:jc w:val="both"/>
      </w:pPr>
      <w:r>
        <w:rPr>
          <w:rFonts w:ascii="Calibri" w:hAnsi="Calibri" w:cs="Calibri"/>
        </w:rPr>
        <w:t>Drift net fishing in the marine environment using nets</w:t>
      </w:r>
      <w:r>
        <w:rPr>
          <w:rFonts w:ascii="Calibri" w:hAnsi="Calibri" w:cs="Calibri"/>
        </w:rPr>
        <w:t xml:space="preserve"> over 2.5 kilometres in length.</w:t>
      </w:r>
    </w:p>
    <w:p w14:paraId="325CA069" w14:textId="77777777" w:rsidR="00593906" w:rsidRDefault="00A37975">
      <w:pPr>
        <w:numPr>
          <w:ilvl w:val="0"/>
          <w:numId w:val="2"/>
        </w:numPr>
        <w:spacing w:beforeLines="50" w:before="163" w:after="160"/>
        <w:ind w:left="720"/>
        <w:jc w:val="both"/>
      </w:pPr>
      <w:r>
        <w:rPr>
          <w:rFonts w:ascii="Calibri" w:hAnsi="Calibri" w:cs="Calibri"/>
        </w:rPr>
        <w:t>Production or activities involving harmful or exploitative forms of forced labour/harmful child labour.</w:t>
      </w:r>
    </w:p>
    <w:p w14:paraId="2682A161" w14:textId="77777777" w:rsidR="00593906" w:rsidRDefault="00A37975">
      <w:pPr>
        <w:numPr>
          <w:ilvl w:val="0"/>
          <w:numId w:val="2"/>
        </w:numPr>
        <w:spacing w:beforeLines="50" w:before="163" w:after="160"/>
        <w:ind w:left="720"/>
        <w:jc w:val="both"/>
      </w:pPr>
      <w:r>
        <w:rPr>
          <w:rFonts w:ascii="Calibri" w:hAnsi="Calibri" w:cs="Calibri"/>
        </w:rPr>
        <w:t>Commercial logging operations for use in primary tropical forest.</w:t>
      </w:r>
    </w:p>
    <w:p w14:paraId="7C75D9C8" w14:textId="77777777" w:rsidR="00593906" w:rsidRDefault="00A37975">
      <w:pPr>
        <w:numPr>
          <w:ilvl w:val="0"/>
          <w:numId w:val="2"/>
        </w:numPr>
        <w:spacing w:beforeLines="50" w:before="163" w:after="160"/>
        <w:ind w:left="720"/>
        <w:jc w:val="both"/>
      </w:pPr>
      <w:r>
        <w:rPr>
          <w:rFonts w:ascii="Calibri" w:hAnsi="Calibri" w:cs="Calibri"/>
        </w:rPr>
        <w:t>Production or trade in wood or other forestry products</w:t>
      </w:r>
      <w:r>
        <w:rPr>
          <w:rFonts w:ascii="Calibri" w:hAnsi="Calibri" w:cs="Calibri"/>
        </w:rPr>
        <w:t xml:space="preserve"> other than from sustainably managed forests.</w:t>
      </w:r>
    </w:p>
    <w:p w14:paraId="5030BBCD" w14:textId="77777777" w:rsidR="00593906" w:rsidRDefault="00A37975">
      <w:pPr>
        <w:numPr>
          <w:ilvl w:val="0"/>
          <w:numId w:val="2"/>
        </w:numPr>
        <w:spacing w:beforeLines="50" w:before="163" w:after="160"/>
        <w:ind w:left="720"/>
        <w:jc w:val="both"/>
      </w:pPr>
      <w:r>
        <w:rPr>
          <w:rFonts w:ascii="Calibri" w:hAnsi="Calibri" w:cs="Calibri"/>
        </w:rPr>
        <w:t>Projects related to fossil fuel.</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7AC99FBE" w14:textId="77777777" w:rsidR="00593906" w:rsidRDefault="00A37975">
            <w:pPr>
              <w:numPr>
                <w:ilvl w:val="0"/>
                <w:numId w:val="2"/>
              </w:numPr>
              <w:jc w:val="both"/>
            </w:pPr>
            <w:r>
              <w:rPr>
                <w:rFonts w:ascii="Calibri" w:hAnsi="Calibri" w:cs="Calibri"/>
                <w:color w:val="0D381F"/>
              </w:rPr>
              <w:t xml:space="preserve">CCXGFI has reviewed the Group’s Framework and examined the </w:t>
            </w:r>
            <w:r>
              <w:rPr>
                <w:rFonts w:ascii="Calibri" w:hAnsi="Calibri" w:cs="Calibri"/>
                <w:color w:val="0D381F"/>
              </w:rPr>
              <w:t>governance and process for the evaluation and selection of the Eligible Projects.</w:t>
            </w:r>
          </w:p>
          <w:p w14:paraId="240223BA" w14:textId="77777777" w:rsidR="00593906" w:rsidRDefault="00A37975">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evaluation and selection.</w:t>
            </w:r>
          </w:p>
          <w:p w14:paraId="01215909" w14:textId="77777777" w:rsidR="00593906" w:rsidRDefault="00A37975">
            <w:pPr>
              <w:numPr>
                <w:ilvl w:val="0"/>
                <w:numId w:val="2"/>
              </w:numPr>
              <w:jc w:val="both"/>
            </w:pPr>
            <w:r>
              <w:rPr>
                <w:rFonts w:ascii="Calibri" w:hAnsi="Calibri" w:cs="Calibri"/>
                <w:color w:val="0D381F"/>
              </w:rPr>
              <w:t>CCXGFI is of the</w:t>
            </w:r>
            <w:r>
              <w:rPr>
                <w:rFonts w:ascii="Calibri" w:hAnsi="Calibri" w:cs="Calibri"/>
                <w:color w:val="0D381F"/>
              </w:rPr>
              <w:t xml:space="preserve"> opinion that the process is formalised and reasonably structured, transparent, relevant and is aligned with this component of the GBP2021 (with June 2022 Appendix I) and GLP2023.</w:t>
            </w:r>
          </w:p>
        </w:tc>
      </w:tr>
    </w:tbl>
    <w:p w14:paraId="7761662A" w14:textId="77777777" w:rsidR="00593906" w:rsidRDefault="00A37975">
      <w:pPr>
        <w:spacing w:beforeLines="50" w:before="163" w:after="160"/>
        <w:jc w:val="both"/>
      </w:pPr>
      <w:r>
        <w:rPr>
          <w:rFonts w:ascii="Calibri" w:hAnsi="Calibri" w:cs="Calibri"/>
        </w:rPr>
        <w:t>The Team of the Group consists of senior management members from various fu</w:t>
      </w:r>
      <w:r>
        <w:rPr>
          <w:rFonts w:ascii="Calibri" w:hAnsi="Calibri" w:cs="Calibri"/>
        </w:rPr>
        <w:t>nctions, including Engineering Department, Strategic Development Department and Financial Audit Department.</w:t>
      </w:r>
    </w:p>
    <w:p w14:paraId="6E99466D" w14:textId="77777777" w:rsidR="00593906" w:rsidRDefault="00A37975">
      <w:pPr>
        <w:spacing w:beforeLines="50" w:before="163" w:after="160"/>
        <w:jc w:val="both"/>
      </w:pPr>
      <w:r>
        <w:rPr>
          <w:rFonts w:ascii="Calibri" w:hAnsi="Calibri" w:cs="Calibri"/>
        </w:rPr>
        <w:t>The Team meetings annually to discuss and select Eligible Green Projects (EGPs) based on the Eligibility Criteria. Their responsibilities include ev</w:t>
      </w:r>
      <w:r>
        <w:rPr>
          <w:rFonts w:ascii="Calibri" w:hAnsi="Calibri" w:cs="Calibri"/>
        </w:rPr>
        <w:t>aluating project compliance, approving and managing the Eligible Projects List, and updating the Framework as needed. They ensure projects align with the Group’s mission, vision, and relevant regulations.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092FC201" w14:textId="77777777" w:rsidR="00593906" w:rsidRDefault="00A37975">
      <w:pPr>
        <w:numPr>
          <w:ilvl w:val="0"/>
          <w:numId w:val="20"/>
        </w:numPr>
        <w:spacing w:beforeLines="50" w:before="163" w:after="160"/>
        <w:ind w:left="720"/>
        <w:jc w:val="both"/>
      </w:pPr>
      <w:r>
        <w:rPr>
          <w:rFonts w:ascii="Calibri" w:hAnsi="Calibri" w:cs="Calibri"/>
        </w:rPr>
        <w:t>Evaluating the compliance of projects with the Eligibility Criteria outlined in the Use of Proceeds under the Framework;</w:t>
      </w:r>
    </w:p>
    <w:p w14:paraId="08326454" w14:textId="77777777" w:rsidR="00593906" w:rsidRDefault="00A37975">
      <w:pPr>
        <w:numPr>
          <w:ilvl w:val="0"/>
          <w:numId w:val="20"/>
        </w:numPr>
        <w:spacing w:beforeLines="50" w:before="163" w:after="160"/>
        <w:ind w:left="720"/>
        <w:jc w:val="both"/>
      </w:pPr>
      <w:r>
        <w:rPr>
          <w:rFonts w:ascii="Calibri" w:hAnsi="Calibri" w:cs="Calibri"/>
        </w:rPr>
        <w:t xml:space="preserve">Approving the inclusion of preselected Eligible Projects in Eligible Projects List (the </w:t>
      </w:r>
      <w:r>
        <w:rPr>
          <w:rFonts w:ascii="Calibri" w:hAnsi="Calibri" w:cs="Calibri"/>
        </w:rPr>
        <w:t>Team has full discretion to object the inclusion of any project);</w:t>
      </w:r>
    </w:p>
    <w:p w14:paraId="103F9454" w14:textId="77777777" w:rsidR="00593906" w:rsidRDefault="00A37975">
      <w:pPr>
        <w:numPr>
          <w:ilvl w:val="0"/>
          <w:numId w:val="20"/>
        </w:numPr>
        <w:spacing w:beforeLines="50" w:before="163" w:after="160"/>
        <w:ind w:left="720"/>
        <w:jc w:val="both"/>
      </w:pPr>
      <w:r>
        <w:rPr>
          <w:rFonts w:ascii="Calibri" w:hAnsi="Calibri" w:cs="Calibri"/>
        </w:rPr>
        <w:t xml:space="preserve">Monitoring and managing the Eligible Projects List. The Group will maintain a register to keep track the use of net proceeds of the GFTs through the internal information system on an annual </w:t>
      </w:r>
      <w:r>
        <w:rPr>
          <w:rFonts w:ascii="Calibri" w:hAnsi="Calibri" w:cs="Calibri"/>
        </w:rPr>
        <w:t>basis;</w:t>
      </w:r>
    </w:p>
    <w:p w14:paraId="722A1BA0" w14:textId="77777777" w:rsidR="00593906" w:rsidRDefault="00A37975">
      <w:pPr>
        <w:numPr>
          <w:ilvl w:val="0"/>
          <w:numId w:val="20"/>
        </w:numPr>
        <w:spacing w:beforeLines="50" w:before="163" w:after="160"/>
        <w:ind w:left="720"/>
        <w:jc w:val="both"/>
      </w:pPr>
      <w:r>
        <w:rPr>
          <w:rFonts w:ascii="Calibri" w:hAnsi="Calibri" w:cs="Calibri"/>
        </w:rPr>
        <w:t>Replacing projects that no longer meet the Eligible Criteria or due to any divestments;</w:t>
      </w:r>
    </w:p>
    <w:p w14:paraId="5472C368" w14:textId="44C56428" w:rsidR="00593906" w:rsidRPr="00396883" w:rsidRDefault="00A37975">
      <w:pPr>
        <w:numPr>
          <w:ilvl w:val="0"/>
          <w:numId w:val="20"/>
        </w:numPr>
        <w:spacing w:beforeLines="50" w:before="163" w:after="160"/>
        <w:ind w:left="720"/>
        <w:jc w:val="both"/>
      </w:pPr>
      <w:r>
        <w:rPr>
          <w:rFonts w:ascii="Calibri" w:hAnsi="Calibri" w:cs="Calibri"/>
        </w:rPr>
        <w:t xml:space="preserve">Observing the development of Green Financing market and approving updates to this Framework accordingly to reflect relevant changes in our corporate strategy or </w:t>
      </w:r>
      <w:r>
        <w:rPr>
          <w:rFonts w:ascii="Calibri" w:hAnsi="Calibri" w:cs="Calibri"/>
        </w:rPr>
        <w:t>market development.</w:t>
      </w:r>
    </w:p>
    <w:p w14:paraId="63A03D4D" w14:textId="77777777" w:rsidR="00396883" w:rsidRDefault="00396883" w:rsidP="00396883">
      <w:pPr>
        <w:spacing w:beforeLines="50" w:before="163" w:after="160"/>
        <w:ind w:left="720"/>
        <w:jc w:val="both"/>
        <w:rPr>
          <w:rFonts w:hint="eastAsia"/>
        </w:rPr>
      </w:pP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2B03622A" w14:textId="77777777" w:rsidR="00593906" w:rsidRDefault="00A37975">
            <w:pPr>
              <w:numPr>
                <w:ilvl w:val="0"/>
                <w:numId w:val="2"/>
              </w:numPr>
              <w:jc w:val="both"/>
            </w:pPr>
            <w:r>
              <w:rPr>
                <w:rFonts w:ascii="Calibri" w:hAnsi="Calibri" w:cs="Calibri"/>
                <w:color w:val="0D381F"/>
              </w:rPr>
              <w:t>CCXGFI has reviewed the Group’s Green Finance Framework and the Group’s policies on management of proceeds.</w:t>
            </w:r>
          </w:p>
          <w:p w14:paraId="3BD9A53F" w14:textId="77777777" w:rsidR="00593906" w:rsidRDefault="00A37975">
            <w:pPr>
              <w:numPr>
                <w:ilvl w:val="0"/>
                <w:numId w:val="2"/>
              </w:numPr>
              <w:jc w:val="both"/>
            </w:pPr>
            <w:r>
              <w:rPr>
                <w:rFonts w:ascii="Calibri" w:hAnsi="Calibri" w:cs="Calibri"/>
                <w:color w:val="0D381F"/>
              </w:rPr>
              <w:t xml:space="preserve">The Group has clearly defined the </w:t>
            </w:r>
            <w:r>
              <w:rPr>
                <w:rFonts w:ascii="Calibri" w:hAnsi="Calibri" w:cs="Calibri"/>
                <w:color w:val="0D381F"/>
              </w:rPr>
              <w:t>rules for the management of proceeds. CCXGFI is of the opinion that they would make a traceable and transparent allocation process which matches the requirements of the GBP2021 (with June 2022 Appendix I) and GLP2023.</w:t>
            </w:r>
          </w:p>
          <w:p w14:paraId="27A54060" w14:textId="77777777" w:rsidR="00593906" w:rsidRDefault="00A37975">
            <w:pPr>
              <w:numPr>
                <w:ilvl w:val="0"/>
                <w:numId w:val="2"/>
              </w:numPr>
              <w:jc w:val="both"/>
            </w:pPr>
            <w:r>
              <w:rPr>
                <w:rFonts w:ascii="Calibri" w:hAnsi="Calibri" w:cs="Calibri"/>
                <w:color w:val="0D381F"/>
              </w:rPr>
              <w:t xml:space="preserve">It is recommended that if applicable, </w:t>
            </w:r>
            <w:r>
              <w:rPr>
                <w:rFonts w:ascii="Calibri" w:hAnsi="Calibri" w:cs="Calibri"/>
                <w:color w:val="0D381F"/>
              </w:rPr>
              <w:t>the Group could establish a special account instead of depositing proceeds in the general funding accounts and consider engaging external agencies to oversee the management of these funds, thereby showing a stronger signal about the Group’s commitment to s</w:t>
            </w:r>
            <w:r>
              <w:rPr>
                <w:rFonts w:ascii="Calibri" w:hAnsi="Calibri" w:cs="Calibri"/>
                <w:color w:val="0D381F"/>
              </w:rPr>
              <w:t>ustainability.</w:t>
            </w:r>
          </w:p>
        </w:tc>
      </w:tr>
    </w:tbl>
    <w:p w14:paraId="50A1D072" w14:textId="1086A8BE" w:rsidR="00723570" w:rsidRPr="000D2EA4" w:rsidRDefault="00A37975" w:rsidP="00336287">
      <w:pPr>
        <w:spacing w:beforeLines="50" w:before="163" w:after="160"/>
        <w:jc w:val="both"/>
        <w:rPr>
          <w:rFonts w:ascii="Calibri" w:hAnsi="Calibri" w:cs="Calibri"/>
          <w:color w:val="7F7F7F" w:themeColor="text1" w:themeTint="80"/>
        </w:rPr>
      </w:pPr>
      <w:r>
        <w:rPr>
          <w:rFonts w:ascii="Calibri" w:hAnsi="Calibri" w:cs="Calibri"/>
        </w:rPr>
        <w:t xml:space="preserve">The proceeds of each of the Group’s GFT can be managed through using a special account or keeping a GFT Register. Under the GFT Register method, the proceeds will be deposited in the general funding accounts and earmarked for </w:t>
      </w:r>
      <w:r>
        <w:rPr>
          <w:rFonts w:ascii="Calibri" w:hAnsi="Calibri" w:cs="Calibri"/>
        </w:rPr>
        <w:t>allocation towards the Eligible Green Projects.</w:t>
      </w:r>
    </w:p>
    <w:p w14:paraId="5B96D796" w14:textId="625AC934" w:rsidR="00723570" w:rsidRPr="000D2EA4" w:rsidRDefault="00A37975"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09A3583A" w14:textId="77777777" w:rsidR="00593906" w:rsidRDefault="00A37975">
      <w:pPr>
        <w:numPr>
          <w:ilvl w:val="0"/>
          <w:numId w:val="2"/>
        </w:numPr>
        <w:spacing w:beforeLines="50" w:before="163" w:after="160"/>
        <w:ind w:left="820"/>
      </w:pPr>
      <w:r>
        <w:rPr>
          <w:rFonts w:ascii="Calibri" w:hAnsi="Calibri" w:cs="Calibri"/>
        </w:rPr>
        <w:t>Type of Funding Transaction</w:t>
      </w:r>
    </w:p>
    <w:p w14:paraId="5A7C6922" w14:textId="77777777" w:rsidR="00593906" w:rsidRDefault="00A37975">
      <w:pPr>
        <w:numPr>
          <w:ilvl w:val="0"/>
          <w:numId w:val="3"/>
        </w:numPr>
        <w:spacing w:beforeLines="50" w:before="163" w:after="160"/>
        <w:ind w:left="1210"/>
      </w:pPr>
      <w:r>
        <w:rPr>
          <w:rFonts w:ascii="Calibri" w:hAnsi="Calibri" w:cs="Calibri"/>
        </w:rPr>
        <w:t>Key information includes issuer/borrower entity, transaction date, the princip</w:t>
      </w:r>
      <w:r>
        <w:rPr>
          <w:rFonts w:ascii="Calibri" w:hAnsi="Calibri" w:cs="Calibri"/>
        </w:rPr>
        <w:t>al amount of proceeds, repayment or amortization profile, maturity date; interest or coupon, the ISIN number etc.</w:t>
      </w:r>
    </w:p>
    <w:p w14:paraId="71DA22CD" w14:textId="77777777" w:rsidR="00593906" w:rsidRDefault="00A37975">
      <w:pPr>
        <w:numPr>
          <w:ilvl w:val="0"/>
          <w:numId w:val="2"/>
        </w:numPr>
        <w:spacing w:beforeLines="50" w:before="163" w:after="160"/>
        <w:ind w:left="820"/>
      </w:pPr>
      <w:r>
        <w:rPr>
          <w:rFonts w:ascii="Calibri" w:hAnsi="Calibri" w:cs="Calibri"/>
        </w:rPr>
        <w:t>Allocation of Use of Proceeds</w:t>
      </w:r>
    </w:p>
    <w:p w14:paraId="5876106D" w14:textId="77777777" w:rsidR="00593906" w:rsidRDefault="00A37975">
      <w:pPr>
        <w:numPr>
          <w:ilvl w:val="0"/>
          <w:numId w:val="3"/>
        </w:numPr>
        <w:spacing w:beforeLines="50" w:before="163" w:after="160"/>
        <w:ind w:left="1210"/>
      </w:pPr>
      <w:r>
        <w:rPr>
          <w:rFonts w:ascii="Calibri" w:hAnsi="Calibri" w:cs="Calibri"/>
        </w:rPr>
        <w:t>Name and description of the eligible projects to which the proceeds of the GFT have been allocated in accordance</w:t>
      </w:r>
      <w:r>
        <w:rPr>
          <w:rFonts w:ascii="Calibri" w:hAnsi="Calibri" w:cs="Calibri"/>
        </w:rPr>
        <w:t xml:space="preserve"> with the Framework</w:t>
      </w:r>
    </w:p>
    <w:p w14:paraId="44610C79" w14:textId="77777777" w:rsidR="00593906" w:rsidRDefault="00A37975">
      <w:pPr>
        <w:numPr>
          <w:ilvl w:val="0"/>
          <w:numId w:val="3"/>
        </w:numPr>
        <w:spacing w:beforeLines="50" w:before="163" w:after="160"/>
        <w:ind w:left="1210"/>
      </w:pPr>
      <w:r>
        <w:rPr>
          <w:rFonts w:ascii="Calibri" w:hAnsi="Calibri" w:cs="Calibri"/>
        </w:rPr>
        <w:t>Amount and date of the GFT proceeds allocated to each eligible project</w:t>
      </w:r>
    </w:p>
    <w:p w14:paraId="5A2866DB" w14:textId="77777777" w:rsidR="00593906" w:rsidRDefault="00A37975">
      <w:pPr>
        <w:numPr>
          <w:ilvl w:val="0"/>
          <w:numId w:val="3"/>
        </w:numPr>
        <w:spacing w:beforeLines="50" w:before="163" w:after="160"/>
        <w:ind w:left="1210"/>
      </w:pPr>
      <w:r>
        <w:rPr>
          <w:rFonts w:ascii="Calibri" w:hAnsi="Calibri" w:cs="Calibri"/>
        </w:rPr>
        <w:t>The remaining balance of unallocated proceeds is yet to be earmarked for eligible projects</w:t>
      </w:r>
    </w:p>
    <w:p w14:paraId="5AFEC4C9" w14:textId="77777777" w:rsidR="00593906" w:rsidRDefault="00A37975">
      <w:pPr>
        <w:numPr>
          <w:ilvl w:val="0"/>
          <w:numId w:val="3"/>
        </w:numPr>
        <w:spacing w:beforeLines="50" w:before="163" w:after="160"/>
        <w:ind w:left="1210"/>
      </w:pPr>
      <w:r>
        <w:rPr>
          <w:rFonts w:ascii="Calibri" w:hAnsi="Calibri" w:cs="Calibri"/>
        </w:rPr>
        <w:t>Other relevant information such as information in relation to temporary in</w:t>
      </w:r>
      <w:r>
        <w:rPr>
          <w:rFonts w:ascii="Calibri" w:hAnsi="Calibri" w:cs="Calibri"/>
        </w:rPr>
        <w:t>vestment for unallocated proceeds (the investment amount and investment type)</w:t>
      </w:r>
    </w:p>
    <w:p w14:paraId="7AD03C11" w14:textId="77777777" w:rsidR="00593906" w:rsidRDefault="00A37975">
      <w:pPr>
        <w:spacing w:beforeLines="50" w:before="163" w:after="160"/>
        <w:jc w:val="both"/>
      </w:pPr>
      <w:r>
        <w:rPr>
          <w:rFonts w:ascii="Calibri" w:hAnsi="Calibri" w:cs="Calibri"/>
        </w:rPr>
        <w:t>The Group can deposit the unallocated held in temporary investment instruments that are assets with high liquidity and safety such as cash or cash equivalent instruments; or held</w:t>
      </w:r>
      <w:r>
        <w:rPr>
          <w:rFonts w:ascii="Calibri" w:hAnsi="Calibri" w:cs="Calibri"/>
        </w:rPr>
        <w:t xml:space="preserve"> in temporary placements according to the relevant rules and regulations set out by the competent authorities.</w:t>
      </w:r>
    </w:p>
    <w:p w14:paraId="219D4B58" w14:textId="430D4F6C" w:rsidR="00593906" w:rsidRDefault="00A37975">
      <w:pPr>
        <w:spacing w:beforeLines="50" w:before="163" w:after="160"/>
        <w:jc w:val="both"/>
        <w:rPr>
          <w:rFonts w:ascii="Calibri" w:hAnsi="Calibri" w:cs="Calibri"/>
        </w:rPr>
      </w:pPr>
      <w:r>
        <w:rPr>
          <w:rFonts w:ascii="Calibri" w:hAnsi="Calibri" w:cs="Calibri"/>
        </w:rPr>
        <w:t>During the life of the GFTs issued, if the designated projects cease to fulfil the eligibility criterias, the net proceeds will be re-allocated t</w:t>
      </w:r>
      <w:r>
        <w:rPr>
          <w:rFonts w:ascii="Calibri" w:hAnsi="Calibri" w:cs="Calibri"/>
        </w:rPr>
        <w:t>o replacement projects that comply with the eligibility criteria as soon as reasonably practicable.</w:t>
      </w:r>
    </w:p>
    <w:p w14:paraId="70ACB9AC" w14:textId="2D5BFAB7" w:rsidR="00396883" w:rsidRDefault="00396883">
      <w:pPr>
        <w:spacing w:beforeLines="50" w:before="163" w:after="160"/>
        <w:jc w:val="both"/>
        <w:rPr>
          <w:rFonts w:ascii="Calibri" w:hAnsi="Calibri" w:cs="Calibri"/>
        </w:rPr>
      </w:pPr>
    </w:p>
    <w:p w14:paraId="3CAE0271" w14:textId="7AA07939" w:rsidR="00396883" w:rsidRDefault="00396883">
      <w:pPr>
        <w:spacing w:beforeLines="50" w:before="163" w:after="160"/>
        <w:jc w:val="both"/>
        <w:rPr>
          <w:rFonts w:ascii="Calibri" w:hAnsi="Calibri" w:cs="Calibri"/>
        </w:rPr>
      </w:pPr>
    </w:p>
    <w:p w14:paraId="7957672E" w14:textId="291E4A12" w:rsidR="00396883" w:rsidRDefault="00396883">
      <w:pPr>
        <w:spacing w:beforeLines="50" w:before="163" w:after="160"/>
        <w:jc w:val="both"/>
        <w:rPr>
          <w:rFonts w:ascii="Calibri" w:hAnsi="Calibri" w:cs="Calibri"/>
        </w:rPr>
      </w:pPr>
    </w:p>
    <w:p w14:paraId="0A0C5FD8" w14:textId="17C5AA01" w:rsidR="00396883" w:rsidRDefault="00396883">
      <w:pPr>
        <w:spacing w:beforeLines="50" w:before="163" w:after="160"/>
        <w:jc w:val="both"/>
        <w:rPr>
          <w:rFonts w:ascii="Calibri" w:hAnsi="Calibri" w:cs="Calibri"/>
        </w:rPr>
      </w:pP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0CFB609B" w14:textId="77777777" w:rsidR="00593906" w:rsidRDefault="00A37975">
            <w:pPr>
              <w:numPr>
                <w:ilvl w:val="0"/>
                <w:numId w:val="2"/>
              </w:numPr>
              <w:jc w:val="both"/>
            </w:pPr>
            <w:r>
              <w:rPr>
                <w:rFonts w:ascii="Calibri" w:hAnsi="Calibri" w:cs="Calibri"/>
                <w:color w:val="0D381F"/>
              </w:rPr>
              <w:t xml:space="preserve">CCXGFI has reviewed the Group’s Framework and examined the reporting </w:t>
            </w:r>
            <w:r>
              <w:rPr>
                <w:rFonts w:ascii="Calibri" w:hAnsi="Calibri" w:cs="Calibri"/>
                <w:color w:val="0D381F"/>
              </w:rPr>
              <w:t>mechanism.</w:t>
            </w:r>
          </w:p>
          <w:p w14:paraId="22B5E17E" w14:textId="77777777" w:rsidR="00593906" w:rsidRDefault="00A37975">
            <w:pPr>
              <w:numPr>
                <w:ilvl w:val="0"/>
                <w:numId w:val="2"/>
              </w:numPr>
              <w:jc w:val="both"/>
            </w:pPr>
            <w:r>
              <w:rPr>
                <w:rFonts w:ascii="Calibri" w:hAnsi="Calibri" w:cs="Calibri"/>
                <w:color w:val="0D381F"/>
              </w:rPr>
              <w:t xml:space="preserve">The Group is committed to reporting the allocation of net proceeds at least annually until they are fully allocated and disclosing the impact of financed projects through quantitative indicators defined by ICMA’s handbook where </w:t>
            </w:r>
            <w:r>
              <w:rPr>
                <w:rFonts w:ascii="Calibri" w:hAnsi="Calibri" w:cs="Calibri"/>
                <w:color w:val="0D381F"/>
              </w:rPr>
              <w:t>possible.</w:t>
            </w:r>
          </w:p>
          <w:p w14:paraId="369867AE" w14:textId="77777777" w:rsidR="00593906" w:rsidRDefault="00A37975">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The Group is committed to providing an allocation report on its eligible green projects annually with updates continuing until full allocation of the net proceeds of any GFT issued or until the GFT is no longer outstanding. The impact report associated with the Eligible Projects will be disclosed on a best effort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FCE4DF0" w14:textId="77777777" w:rsidR="00593906" w:rsidRDefault="00A37975">
      <w:pPr>
        <w:numPr>
          <w:ilvl w:val="0"/>
          <w:numId w:val="2"/>
        </w:numPr>
        <w:spacing w:beforeLines="50" w:before="163" w:after="160"/>
        <w:ind w:left="820"/>
      </w:pPr>
      <w:r>
        <w:rPr>
          <w:rFonts w:ascii="Calibri" w:hAnsi="Calibri" w:cs="Calibri"/>
        </w:rPr>
        <w:t xml:space="preserve">Amount of allocated proceeds by Eligible Categories, with a brief description of green and/or social </w:t>
      </w:r>
      <w:r>
        <w:rPr>
          <w:rFonts w:ascii="Calibri" w:hAnsi="Calibri" w:cs="Calibri"/>
        </w:rPr>
        <w:t>projects;</w:t>
      </w:r>
    </w:p>
    <w:p w14:paraId="7890ADDA" w14:textId="77777777" w:rsidR="00593906" w:rsidRDefault="00A37975">
      <w:pPr>
        <w:numPr>
          <w:ilvl w:val="0"/>
          <w:numId w:val="2"/>
        </w:numPr>
        <w:spacing w:beforeLines="50" w:before="163" w:after="160"/>
        <w:ind w:left="820"/>
      </w:pPr>
      <w:r>
        <w:rPr>
          <w:rFonts w:ascii="Calibri" w:hAnsi="Calibri" w:cs="Calibri"/>
        </w:rPr>
        <w:t>The remaining balance of funds which have not yet been allocated;</w:t>
      </w:r>
    </w:p>
    <w:p w14:paraId="616A70D7" w14:textId="77777777" w:rsidR="00593906" w:rsidRDefault="00A37975">
      <w:pPr>
        <w:numPr>
          <w:ilvl w:val="0"/>
          <w:numId w:val="2"/>
        </w:numPr>
        <w:spacing w:beforeLines="50" w:before="163" w:after="160"/>
        <w:ind w:left="820"/>
      </w:pPr>
      <w:r>
        <w:rPr>
          <w:rFonts w:ascii="Calibri" w:hAnsi="Calibri" w:cs="Calibri"/>
        </w:rPr>
        <w:t>Share of financing vs. refinancing.</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4B77D0A1" w14:textId="77777777" w:rsidR="00593906" w:rsidRDefault="00A37975">
      <w:pPr>
        <w:spacing w:beforeLines="50" w:before="163" w:after="160"/>
        <w:jc w:val="both"/>
      </w:pPr>
      <w:r>
        <w:rPr>
          <w:rFonts w:ascii="Calibri" w:hAnsi="Calibri" w:cs="Calibri"/>
        </w:rPr>
        <w:t xml:space="preserve">Huaiyuan County, located in Bengbu City of Anhui Province, has witnessed remarkable economic growth in recent years. The region’s strong </w:t>
      </w:r>
      <w:r>
        <w:rPr>
          <w:rFonts w:ascii="Calibri" w:hAnsi="Calibri" w:cs="Calibri"/>
        </w:rPr>
        <w:t>fiscal capabilities have provided a robust foundation for business development, particularly for key state-owned enterprises. The Group, as a pivotal entity for infrastructure development in Huaiyuan County, has diversified its business portfolio, encompas</w:t>
      </w:r>
      <w:r>
        <w:rPr>
          <w:rFonts w:ascii="Calibri" w:hAnsi="Calibri" w:cs="Calibri"/>
        </w:rPr>
        <w:t>sing infrastructure and engineering construction, real estate development and commercial trading, aligning with the county’s rapid urbanization and economic progression. The Group aligns its business strategies with the national “14th Five-Year” Plan, emph</w:t>
      </w:r>
      <w:r>
        <w:rPr>
          <w:rFonts w:ascii="Calibri" w:hAnsi="Calibri" w:cs="Calibri"/>
        </w:rPr>
        <w:t>asizing ecological restoration and low-carbon economic development. The Group integrates sustainable practices, such as advanced water management and eco-friendly aquaculture, to harmonize economic growth with environmental conservation. By focusing on pol</w:t>
      </w:r>
      <w:r>
        <w:rPr>
          <w:rFonts w:ascii="Calibri" w:hAnsi="Calibri" w:cs="Calibri"/>
        </w:rPr>
        <w:t xml:space="preserve">lution control and sustainable farming, the Group actively mitigates environmental impacts while enhancing agricultural efficiency. These strategies not only comply with China’s stringent environmental regulations but also contribute to local economic and </w:t>
      </w:r>
      <w:r>
        <w:rPr>
          <w:rFonts w:ascii="Calibri" w:hAnsi="Calibri" w:cs="Calibri"/>
        </w:rPr>
        <w:t>ecological betterment. The Group’s Green Finance Framework aims to channel funds into projects that support environmentally sustainable management of resources and land, encompassing initiatives like sustainable agriculture and water conservancy. By adheri</w:t>
      </w:r>
      <w:r>
        <w:rPr>
          <w:rFonts w:ascii="Calibri" w:hAnsi="Calibri" w:cs="Calibri"/>
        </w:rPr>
        <w:t>ng to these green financing avenues, the Group not only fulfills its strategic objective of enhancing urban infrastructure but also contributes significantly to ecological preservation, ensuring a holistic advancement towards its sustainable development go</w:t>
      </w:r>
      <w:r>
        <w:rPr>
          <w:rFonts w:ascii="Calibri" w:hAnsi="Calibri" w:cs="Calibri"/>
        </w:rPr>
        <w:t>als.</w:t>
      </w:r>
    </w:p>
    <w:p w14:paraId="4E8B993D" w14:textId="6BF98F79" w:rsidR="00593906" w:rsidRDefault="00A37975">
      <w:pPr>
        <w:spacing w:beforeLines="50" w:before="163" w:after="160"/>
        <w:jc w:val="both"/>
      </w:pPr>
      <w:r>
        <w:rPr>
          <w:rFonts w:ascii="Calibri" w:hAnsi="Calibri" w:cs="Calibri"/>
        </w:rPr>
        <w:t>The Group defines Environmentally Sustainable Management of Living Natural Resources and Land Use as eligible green projects categories.Furthermore, the GFTs issued under the Green Finance Framework contribute to the 3 SDGs, systematically advancing t</w:t>
      </w:r>
      <w:r>
        <w:rPr>
          <w:rFonts w:ascii="Calibri" w:hAnsi="Calibri" w:cs="Calibri"/>
        </w:rPr>
        <w:t xml:space="preserve">he Group. In particular, the eligible projects are closely related to the </w:t>
      </w:r>
      <w:r w:rsidR="006746CB">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t>
      </w:r>
      <w:r>
        <w:rPr>
          <w:rFonts w:ascii="Calibri" w:hAnsi="Calibri" w:cs="Calibri"/>
        </w:rPr>
        <w:t>work is expected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593906" w14:paraId="6686E797" w14:textId="77777777">
        <w:tc>
          <w:tcPr>
            <w:tcW w:w="8500" w:type="dxa"/>
            <w:shd w:val="clear" w:color="auto" w:fill="316729"/>
          </w:tcPr>
          <w:p w14:paraId="5C829073" w14:textId="77777777" w:rsidR="00593906" w:rsidRDefault="00A37975">
            <w:r>
              <w:rPr>
                <w:rFonts w:ascii="Calibri" w:hAnsi="Calibri" w:cs="Calibri"/>
                <w:b/>
                <w:color w:val="FFFFFF"/>
                <w:sz w:val="30"/>
                <w:szCs w:val="30"/>
              </w:rPr>
              <w:t>Environmentally Sustainable Management of Living Natural Resources and Land Use</w:t>
            </w:r>
          </w:p>
        </w:tc>
        <w:tc>
          <w:tcPr>
            <w:tcW w:w="2000" w:type="dxa"/>
            <w:shd w:val="clear" w:color="auto" w:fill="316729"/>
          </w:tcPr>
          <w:p w14:paraId="17EC7D12" w14:textId="77777777" w:rsidR="00593906" w:rsidRDefault="00593906"/>
        </w:tc>
      </w:tr>
      <w:tr w:rsidR="00593906" w14:paraId="26DAB24D" w14:textId="77777777">
        <w:tc>
          <w:tcPr>
            <w:tcW w:w="360" w:type="dxa"/>
            <w:shd w:val="clear" w:color="auto" w:fill="F4F9EB"/>
          </w:tcPr>
          <w:p w14:paraId="606F73B4" w14:textId="77777777" w:rsidR="00593906" w:rsidRDefault="00A37975">
            <w:pPr>
              <w:numPr>
                <w:ilvl w:val="0"/>
                <w:numId w:val="2"/>
              </w:numPr>
              <w:jc w:val="both"/>
            </w:pPr>
            <w:r>
              <w:rPr>
                <w:rFonts w:ascii="Calibri" w:hAnsi="Calibri" w:cs="Calibri"/>
                <w:color w:val="0D381F"/>
                <w:shd w:val="clear" w:color="auto" w:fill="F4F9EB"/>
              </w:rPr>
              <w:t xml:space="preserve">In line with China’s ambitious goal to attain carbon neutrality by 2060, the sector concerning the management of </w:t>
            </w:r>
            <w:r>
              <w:rPr>
                <w:rFonts w:ascii="Calibri" w:hAnsi="Calibri" w:cs="Calibri"/>
                <w:color w:val="0D381F"/>
                <w:shd w:val="clear" w:color="auto" w:fill="F4F9EB"/>
              </w:rPr>
              <w:t>living natural resources and land use emerges as a pivotal area with distinct environmental issues and potential solutions. This is particularly relevant to the Framework of the Group, a key player in the urban and infrastructure development landscape of H</w:t>
            </w:r>
            <w:r>
              <w:rPr>
                <w:rFonts w:ascii="Calibri" w:hAnsi="Calibri" w:cs="Calibri"/>
                <w:color w:val="0D381F"/>
                <w:shd w:val="clear" w:color="auto" w:fill="F4F9EB"/>
              </w:rPr>
              <w:t>uaiyuan County. Among the foremost environmental concerns linked to this sector are soil degradation, biodiversity loss, and suboptimal water utilization, all of which are further intensified by conventional agricultural methods and incessant urban growth.</w:t>
            </w:r>
            <w:r>
              <w:rPr>
                <w:rFonts w:ascii="Calibri" w:hAnsi="Calibri" w:cs="Calibri"/>
                <w:color w:val="0D381F"/>
                <w:shd w:val="clear" w:color="auto" w:fill="F4F9EB"/>
              </w:rPr>
              <w:t xml:space="preserve"> To narrow the existing gap toward achieving carbon neutrality, it is imperative to embrace sustainable agricultural and aquaculture practices along with the implementation of sophisticated water management systems. Such initiatives are congruent with the </w:t>
            </w:r>
            <w:r>
              <w:rPr>
                <w:rFonts w:ascii="Calibri" w:hAnsi="Calibri" w:cs="Calibri"/>
                <w:color w:val="0D381F"/>
                <w:shd w:val="clear" w:color="auto" w:fill="F4F9EB"/>
              </w:rPr>
              <w:t>national “14th Five-Year” Strategic Plan and are instrumental in diminishing the carbon footprint associated with land utilization and resource management. The Group integrates sustainable practices in its infrastructure projects, reflecting a commitment t</w:t>
            </w:r>
            <w:r>
              <w:rPr>
                <w:rFonts w:ascii="Calibri" w:hAnsi="Calibri" w:cs="Calibri"/>
                <w:color w:val="0D381F"/>
                <w:shd w:val="clear" w:color="auto" w:fill="F4F9EB"/>
              </w:rPr>
              <w:t>o ecological restoration and green production systems. This alignment with national policy not only supports the Group’s economic growth but also positions it as a responsible contributor to sustainable development.</w:t>
            </w:r>
          </w:p>
          <w:p w14:paraId="2EB6B727" w14:textId="77777777" w:rsidR="00593906" w:rsidRDefault="00A37975">
            <w:pPr>
              <w:numPr>
                <w:ilvl w:val="0"/>
                <w:numId w:val="2"/>
              </w:numPr>
              <w:jc w:val="both"/>
            </w:pPr>
            <w:r>
              <w:rPr>
                <w:rFonts w:ascii="Calibri" w:hAnsi="Calibri" w:cs="Calibri"/>
                <w:color w:val="0D381F"/>
                <w:shd w:val="clear" w:color="auto" w:fill="F4F9EB"/>
              </w:rPr>
              <w:t>The Group’s initiative in environmentall</w:t>
            </w:r>
            <w:r>
              <w:rPr>
                <w:rFonts w:ascii="Calibri" w:hAnsi="Calibri" w:cs="Calibri"/>
                <w:color w:val="0D381F"/>
                <w:shd w:val="clear" w:color="auto" w:fill="F4F9EB"/>
              </w:rPr>
              <w:t>y sustainable management of living natural resources and land use is expected to yield significant environmental benefits. For instance, the adoption of sustainable aquaculture practices has been demonstrated to enhance biodiversity within aquatic ecosyste</w:t>
            </w:r>
            <w:r>
              <w:rPr>
                <w:rFonts w:ascii="Calibri" w:hAnsi="Calibri" w:cs="Calibri"/>
                <w:color w:val="0D381F"/>
                <w:shd w:val="clear" w:color="auto" w:fill="F4F9EB"/>
              </w:rPr>
              <w:t>ms, while the integration of aquaculture with rice cultivation systems has contributed to a decrease in the use of chemical inputs, consequently reducing water pollution and advancing soil quality. Additionally, the development and upkeep of state-of-the-a</w:t>
            </w:r>
            <w:r>
              <w:rPr>
                <w:rFonts w:ascii="Calibri" w:hAnsi="Calibri" w:cs="Calibri"/>
                <w:color w:val="0D381F"/>
                <w:shd w:val="clear" w:color="auto" w:fill="F4F9EB"/>
              </w:rPr>
              <w:t>rt irrigation and drainage systems have been pivotal in advancing water conservation, optimizing resource utilization, and augmenting land productivity. These initiatives are methodically designed to maintain ecological equilibrium and ensure sustainabilit</w:t>
            </w:r>
            <w:r>
              <w:rPr>
                <w:rFonts w:ascii="Calibri" w:hAnsi="Calibri" w:cs="Calibri"/>
                <w:color w:val="0D381F"/>
                <w:shd w:val="clear" w:color="auto" w:fill="F4F9EB"/>
              </w:rPr>
              <w:t>y of resources, ultimately playing a decisive role in mitigating greenhouse gas emissions. The strategic approach of the Group emphasizes the importance of ecological restoration and the application of resource-efficient technologies, which are crucial for</w:t>
            </w:r>
            <w:r>
              <w:rPr>
                <w:rFonts w:ascii="Calibri" w:hAnsi="Calibri" w:cs="Calibri"/>
                <w:color w:val="0D381F"/>
                <w:shd w:val="clear" w:color="auto" w:fill="F4F9EB"/>
              </w:rPr>
              <w:t xml:space="preserve"> attaining environmental sustainability and fostering the ecological well-being of the region. Hence, the integration of these methodologies within the Green Finance Framework is anticipated to deliver considerable environmental advantages, thereby fortify</w:t>
            </w:r>
            <w:r>
              <w:rPr>
                <w:rFonts w:ascii="Calibri" w:hAnsi="Calibri" w:cs="Calibri"/>
                <w:color w:val="0D381F"/>
                <w:shd w:val="clear" w:color="auto" w:fill="F4F9EB"/>
              </w:rPr>
              <w:t>ing the Group’s dedication to sustainable development and ecological conservation.</w:t>
            </w:r>
          </w:p>
          <w:p w14:paraId="329D2930" w14:textId="77777777" w:rsidR="00593906" w:rsidRDefault="00A37975">
            <w:pPr>
              <w:numPr>
                <w:ilvl w:val="0"/>
                <w:numId w:val="2"/>
              </w:numPr>
              <w:jc w:val="both"/>
            </w:pPr>
            <w:r>
              <w:rPr>
                <w:rFonts w:ascii="Calibri" w:hAnsi="Calibri" w:cs="Calibri"/>
                <w:color w:val="0D381F"/>
                <w:shd w:val="clear" w:color="auto" w:fill="F4F9EB"/>
              </w:rPr>
              <w:t>The alignment of the Group’s Green Finance Framework with the Chinese government’s policies on the environmentally sustainable management of living natural resources and lan</w:t>
            </w:r>
            <w:r>
              <w:rPr>
                <w:rFonts w:ascii="Calibri" w:hAnsi="Calibri" w:cs="Calibri"/>
                <w:color w:val="0D381F"/>
                <w:shd w:val="clear" w:color="auto" w:fill="F4F9EB"/>
              </w:rPr>
              <w:t xml:space="preserve">d use is evidenced by several key policy initiatives. The framework’s focus on sustainable agricultural and aquaculture practices, </w:t>
            </w:r>
            <w:r>
              <w:rPr>
                <w:rFonts w:ascii="Calibri" w:hAnsi="Calibri" w:cs="Calibri"/>
                <w:color w:val="0D381F"/>
                <w:shd w:val="clear" w:color="auto" w:fill="F4F9EB"/>
              </w:rPr>
              <w:lastRenderedPageBreak/>
              <w:t>resonates with the broader governmental strategies aimed at promoting conservation and sustainable use of resources. Addition</w:t>
            </w:r>
            <w:r>
              <w:rPr>
                <w:rFonts w:ascii="Calibri" w:hAnsi="Calibri" w:cs="Calibri"/>
                <w:color w:val="0D381F"/>
                <w:shd w:val="clear" w:color="auto" w:fill="F4F9EB"/>
              </w:rPr>
              <w:t>ally, the construction and maintenance of facilities for ecological preservation and resource efficiency, are supported by China’s transformative approach to environment and development, which seeks to provide lasting social, economic, and environmental be</w:t>
            </w:r>
            <w:r>
              <w:rPr>
                <w:rFonts w:ascii="Calibri" w:hAnsi="Calibri" w:cs="Calibri"/>
                <w:color w:val="0D381F"/>
                <w:shd w:val="clear" w:color="auto" w:fill="F4F9EB"/>
              </w:rPr>
              <w:t xml:space="preserve">nefits. The emphasis on pollution control and the restoration of polluted air, soil, and water further underscores the relevance of the Group’s initiatives to national ecological advancement goals. This strong alignment with national policies enhances the </w:t>
            </w:r>
            <w:r>
              <w:rPr>
                <w:rFonts w:ascii="Calibri" w:hAnsi="Calibri" w:cs="Calibri"/>
                <w:color w:val="0D381F"/>
                <w:shd w:val="clear" w:color="auto" w:fill="F4F9EB"/>
              </w:rPr>
              <w:t>credibility and potential impact of the Group’s projects, positioning them as integral components of China’s sustainable development objectives.</w:t>
            </w:r>
          </w:p>
        </w:tc>
        <w:tc>
          <w:tcPr>
            <w:tcW w:w="360" w:type="dxa"/>
            <w:shd w:val="clear" w:color="auto" w:fill="F4F9EB"/>
          </w:tcPr>
          <w:p w14:paraId="5241DDFE" w14:textId="77777777" w:rsidR="00593906" w:rsidRDefault="00593906"/>
          <w:p w14:paraId="43EE4505" w14:textId="77777777" w:rsidR="00593906" w:rsidRDefault="00A37975">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2EF6F383" w14:textId="77777777" w:rsidR="00593906" w:rsidRDefault="00A37975">
      <w:pPr>
        <w:spacing w:beforeLines="50" w:before="163" w:after="160"/>
        <w:jc w:val="both"/>
      </w:pPr>
      <w:r>
        <w:rPr>
          <w:rFonts w:ascii="Calibri" w:hAnsi="Calibri" w:cs="Calibri"/>
        </w:rPr>
        <w:t xml:space="preserve">The Group has adopted environmental and social risk management measures to ensure compliance with national laws and </w:t>
      </w:r>
      <w:r>
        <w:rPr>
          <w:rFonts w:ascii="Calibri" w:hAnsi="Calibri" w:cs="Calibri"/>
        </w:rPr>
        <w:t>regulations on green development governing air and gas pollution, noise emissions, hazardous substances, water and waste discharge, etc.</w:t>
      </w:r>
    </w:p>
    <w:p w14:paraId="52E8C3A0" w14:textId="77777777" w:rsidR="00593906" w:rsidRDefault="00A37975">
      <w:pPr>
        <w:spacing w:beforeLines="50" w:before="163" w:after="160"/>
        <w:jc w:val="both"/>
      </w:pPr>
      <w:r>
        <w:rPr>
          <w:rFonts w:ascii="Calibri" w:hAnsi="Calibri" w:cs="Calibri"/>
        </w:rPr>
        <w:t xml:space="preserve">As the basis for investment decision-making, feasibility study report is a necessary requirement in project investment </w:t>
      </w:r>
      <w:r>
        <w:rPr>
          <w:rFonts w:ascii="Calibri" w:hAnsi="Calibri" w:cs="Calibri"/>
        </w:rPr>
        <w:t>and is usually conducted by the third-party agent or professional consultant team in the evaluation and selection process. Based on the feasibility reports, the Group can identify and assess the environmental risks or social risks related to the eligible p</w:t>
      </w:r>
      <w:r>
        <w:rPr>
          <w:rFonts w:ascii="Calibri" w:hAnsi="Calibri" w:cs="Calibri"/>
        </w:rPr>
        <w:t>rojects.</w:t>
      </w:r>
    </w:p>
    <w:p w14:paraId="46A5C590" w14:textId="77777777" w:rsidR="00593906" w:rsidRDefault="00A37975">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w:t>
      </w:r>
      <w:r>
        <w:rPr>
          <w:rFonts w:ascii="Calibri" w:hAnsi="Calibri" w:cs="Calibri"/>
        </w:rPr>
        <w:t>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6099097D" w14:textId="77777777" w:rsidR="00593906" w:rsidRDefault="00A37975">
      <w:pPr>
        <w:spacing w:beforeLines="50" w:before="163" w:after="160"/>
        <w:jc w:val="both"/>
      </w:pPr>
      <w:r>
        <w:rPr>
          <w:rFonts w:ascii="Calibri" w:hAnsi="Calibri" w:cs="Calibri"/>
        </w:rPr>
        <w:t>The eligible projects in</w:t>
      </w:r>
      <w:r>
        <w:rPr>
          <w:rFonts w:ascii="Calibri" w:hAnsi="Calibri" w:cs="Calibri"/>
        </w:rPr>
        <w:t>cluded in the Framework are mainly realized through the construction of aquaculture practice and facilities and systems for ecological protection. Generally, the Group has identified potential negative environmental impacts during both the construction and</w:t>
      </w:r>
      <w:r>
        <w:rPr>
          <w:rFonts w:ascii="Calibri" w:hAnsi="Calibri" w:cs="Calibri"/>
        </w:rPr>
        <w:t xml:space="preserve"> operation process, including water pollution, solid wastes, dust and noise.</w:t>
      </w:r>
    </w:p>
    <w:p w14:paraId="1BD4BD87" w14:textId="77777777" w:rsidR="00B82255" w:rsidRDefault="00B82255" w:rsidP="00B82255">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4536"/>
        <w:gridCol w:w="5904"/>
      </w:tblGrid>
      <w:tr w:rsidR="00593906" w14:paraId="28C8EB58" w14:textId="77777777" w:rsidTr="00B323E6">
        <w:tc>
          <w:tcPr>
            <w:tcW w:w="4536" w:type="dxa"/>
            <w:shd w:val="clear" w:color="auto" w:fill="316729"/>
            <w:vAlign w:val="center"/>
          </w:tcPr>
          <w:p w14:paraId="6A0DFAFE" w14:textId="77777777" w:rsidR="00593906" w:rsidRDefault="00593906">
            <w:pPr>
              <w:jc w:val="center"/>
            </w:pPr>
          </w:p>
        </w:tc>
        <w:tc>
          <w:tcPr>
            <w:tcW w:w="5904" w:type="dxa"/>
            <w:shd w:val="clear" w:color="auto" w:fill="316729"/>
            <w:vAlign w:val="center"/>
          </w:tcPr>
          <w:p w14:paraId="3562C268" w14:textId="77777777" w:rsidR="00593906" w:rsidRDefault="00A37975">
            <w:pPr>
              <w:jc w:val="center"/>
            </w:pPr>
            <w:r>
              <w:rPr>
                <w:rFonts w:ascii="Calibri" w:hAnsi="Calibri" w:cs="Calibri"/>
                <w:b/>
                <w:color w:val="FFFFFF"/>
              </w:rPr>
              <w:t>Project-specific Impact</w:t>
            </w:r>
          </w:p>
        </w:tc>
      </w:tr>
      <w:tr w:rsidR="00593906" w14:paraId="6686385E" w14:textId="77777777" w:rsidTr="00B323E6">
        <w:tc>
          <w:tcPr>
            <w:tcW w:w="4536" w:type="dxa"/>
            <w:shd w:val="clear" w:color="auto" w:fill="F4F9EB"/>
            <w:vAlign w:val="center"/>
          </w:tcPr>
          <w:p w14:paraId="3EF96776" w14:textId="77777777" w:rsidR="00593906" w:rsidRDefault="00A37975">
            <w:r>
              <w:rPr>
                <w:rFonts w:ascii="Calibri" w:hAnsi="Calibri" w:cs="Calibri"/>
                <w:b/>
                <w:color w:val="000000"/>
              </w:rPr>
              <w:t>Environmentally Sustainable Management of Living Natural Resources and Land Use</w:t>
            </w:r>
          </w:p>
        </w:tc>
        <w:tc>
          <w:tcPr>
            <w:tcW w:w="5904" w:type="dxa"/>
            <w:shd w:val="clear" w:color="auto" w:fill="F4F9EB"/>
            <w:vAlign w:val="center"/>
          </w:tcPr>
          <w:p w14:paraId="0102E134" w14:textId="77777777" w:rsidR="00593906" w:rsidRDefault="00A37975">
            <w:pPr>
              <w:numPr>
                <w:ilvl w:val="0"/>
                <w:numId w:val="2"/>
              </w:numPr>
              <w:ind w:left="240" w:hanging="300"/>
            </w:pPr>
            <w:r>
              <w:rPr>
                <w:rFonts w:ascii="Calibri" w:hAnsi="Calibri" w:cs="Calibri"/>
                <w:color w:val="0D381F"/>
                <w:shd w:val="clear" w:color="auto" w:fill="F4F9EB"/>
              </w:rPr>
              <w:t>xxx</w:t>
            </w:r>
          </w:p>
        </w:tc>
      </w:tr>
    </w:tbl>
    <w:p w14:paraId="462D5BFF" w14:textId="4ABED9F8" w:rsidR="00593906" w:rsidRDefault="00A37975">
      <w:pPr>
        <w:spacing w:beforeLines="50" w:before="163" w:after="160"/>
        <w:jc w:val="both"/>
      </w:pPr>
      <w:r>
        <w:rPr>
          <w:rFonts w:ascii="Calibri" w:hAnsi="Calibri" w:cs="Calibri"/>
        </w:rPr>
        <w:t xml:space="preserve">The </w:t>
      </w:r>
      <w:r w:rsidR="006746CB">
        <w:rPr>
          <w:rFonts w:ascii="Calibri" w:hAnsi="Calibri" w:cs="Calibri"/>
        </w:rPr>
        <w:t>Group</w:t>
      </w:r>
      <w:r>
        <w:rPr>
          <w:rFonts w:ascii="Calibri" w:hAnsi="Calibri" w:cs="Calibri"/>
        </w:rPr>
        <w:t xml:space="preserve"> has committed to controlling the </w:t>
      </w:r>
      <w:r>
        <w:rPr>
          <w:rFonts w:ascii="Calibri" w:hAnsi="Calibri" w:cs="Calibri"/>
        </w:rPr>
        <w:t>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552F0F84" w14:textId="77777777" w:rsidR="00593906" w:rsidRDefault="00A37975">
      <w:pPr>
        <w:spacing w:beforeLines="50" w:before="163" w:after="160"/>
        <w:jc w:val="both"/>
      </w:pPr>
      <w:r>
        <w:rPr>
          <w:rFonts w:ascii="Calibri" w:hAnsi="Calibri" w:cs="Calibri"/>
        </w:rPr>
        <w:t>Social risks related to mentioned eligible projects are expected to remain at a low level. In particular, th</w:t>
      </w:r>
      <w:r>
        <w:rPr>
          <w:rFonts w:ascii="Calibri" w:hAnsi="Calibri" w:cs="Calibri"/>
        </w:rPr>
        <w:t>e eligible projects would neither have negative impacts on cultures, living habits, employment nor the income of surrounding people. The eligible projects are expected to drive rural economic growth and improve the quality of life for farmers.</w:t>
      </w:r>
    </w:p>
    <w:p w14:paraId="0973188B" w14:textId="77777777" w:rsidR="00593906" w:rsidRDefault="00A37975">
      <w:pPr>
        <w:spacing w:beforeLines="50" w:before="163" w:after="160"/>
        <w:jc w:val="both"/>
      </w:pPr>
      <w:r>
        <w:rPr>
          <w:rFonts w:ascii="Calibri" w:hAnsi="Calibri" w:cs="Calibri"/>
        </w:rPr>
        <w:t>During the c</w:t>
      </w:r>
      <w:r>
        <w:rPr>
          <w:rFonts w:ascii="Calibri" w:hAnsi="Calibri" w:cs="Calibri"/>
        </w:rPr>
        <w:t xml:space="preserve">onstruction of eligible projects, some projects may raise public concerns about environmental pollution, health impacts, etc., especially when the project site is close to a residential area, which may lead to opposition and protests from residents. There </w:t>
      </w:r>
      <w:r>
        <w:rPr>
          <w:rFonts w:ascii="Calibri" w:hAnsi="Calibri" w:cs="Calibri"/>
        </w:rPr>
        <w:t>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593906" w14:paraId="39E3E5B4" w14:textId="77777777">
        <w:tc>
          <w:tcPr>
            <w:tcW w:w="6840" w:type="dxa"/>
            <w:shd w:val="clear" w:color="auto" w:fill="316729"/>
            <w:vAlign w:val="center"/>
          </w:tcPr>
          <w:p w14:paraId="1F813AF4" w14:textId="77777777" w:rsidR="00593906" w:rsidRDefault="00A37975">
            <w:pPr>
              <w:jc w:val="center"/>
            </w:pPr>
            <w:r>
              <w:rPr>
                <w:rFonts w:ascii="Calibri" w:hAnsi="Calibri" w:cs="Calibri"/>
                <w:b/>
                <w:color w:val="FFFFFF"/>
              </w:rPr>
              <w:t>Association</w:t>
            </w:r>
          </w:p>
        </w:tc>
        <w:tc>
          <w:tcPr>
            <w:tcW w:w="4600" w:type="dxa"/>
            <w:shd w:val="clear" w:color="auto" w:fill="316729"/>
            <w:vAlign w:val="center"/>
          </w:tcPr>
          <w:p w14:paraId="3BBF6DCB" w14:textId="77777777" w:rsidR="00593906" w:rsidRDefault="00A37975">
            <w:pPr>
              <w:jc w:val="center"/>
            </w:pPr>
            <w:r>
              <w:rPr>
                <w:rFonts w:ascii="Calibri" w:hAnsi="Calibri" w:cs="Calibri"/>
                <w:b/>
                <w:color w:val="FFFFFF"/>
              </w:rPr>
              <w:t>Standard</w:t>
            </w:r>
          </w:p>
        </w:tc>
      </w:tr>
      <w:tr w:rsidR="00593906" w14:paraId="347987CB" w14:textId="77777777">
        <w:tc>
          <w:tcPr>
            <w:tcW w:w="6440" w:type="dxa"/>
            <w:tcBorders>
              <w:bottom w:val="dotted" w:sz="3" w:space="0" w:color="275317"/>
            </w:tcBorders>
            <w:shd w:val="clear" w:color="auto" w:fill="F4F9EB"/>
            <w:vAlign w:val="center"/>
          </w:tcPr>
          <w:p w14:paraId="76F005E0" w14:textId="77777777" w:rsidR="00593906" w:rsidRDefault="00A37975">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711E5A42" w14:textId="77777777" w:rsidR="00593906" w:rsidRDefault="00A37975">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593906" w14:paraId="37686EEC" w14:textId="77777777">
        <w:tc>
          <w:tcPr>
            <w:tcW w:w="6440" w:type="dxa"/>
            <w:tcBorders>
              <w:bottom w:val="dotted" w:sz="3" w:space="0" w:color="275317"/>
            </w:tcBorders>
            <w:shd w:val="clear" w:color="auto" w:fill="F4F9EB"/>
            <w:vAlign w:val="center"/>
          </w:tcPr>
          <w:p w14:paraId="355B4D4A" w14:textId="77777777" w:rsidR="00593906" w:rsidRDefault="00A37975">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0AB0E1DC" w14:textId="77777777" w:rsidR="00593906" w:rsidRDefault="00A37975">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3ED55D75" w14:textId="77777777" w:rsidR="00593906" w:rsidRDefault="00A37975">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1A6F359C" w14:textId="77777777" w:rsidR="00593906" w:rsidRDefault="00A37975">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593906" w14:paraId="16B89901" w14:textId="77777777">
        <w:tc>
          <w:tcPr>
            <w:tcW w:w="6440" w:type="dxa"/>
            <w:shd w:val="clear" w:color="auto" w:fill="F4F9EB"/>
            <w:vAlign w:val="center"/>
          </w:tcPr>
          <w:p w14:paraId="3C7437FD" w14:textId="77777777" w:rsidR="00593906" w:rsidRDefault="00A37975">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194C019" w14:textId="77777777" w:rsidR="00593906" w:rsidRDefault="00A37975">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529A5B18" w14:textId="77777777" w:rsidR="00593906" w:rsidRDefault="00A37975">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06A583A9" w14:textId="77777777" w:rsidR="00593906" w:rsidRDefault="00A37975">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72"/>
        <w:gridCol w:w="7268"/>
      </w:tblGrid>
      <w:tr w:rsidR="00593906" w14:paraId="3F8B2BC7" w14:textId="77777777">
        <w:tc>
          <w:tcPr>
            <w:tcW w:w="3600" w:type="dxa"/>
            <w:shd w:val="clear" w:color="auto" w:fill="316729"/>
            <w:vAlign w:val="center"/>
          </w:tcPr>
          <w:p w14:paraId="42D26E17" w14:textId="77777777" w:rsidR="00593906" w:rsidRDefault="00A37975">
            <w:pPr>
              <w:jc w:val="center"/>
            </w:pPr>
            <w:r>
              <w:rPr>
                <w:rFonts w:ascii="Calibri" w:hAnsi="Calibri" w:cs="Calibri"/>
                <w:b/>
                <w:color w:val="FFFFFF"/>
              </w:rPr>
              <w:t>Catalogue</w:t>
            </w:r>
          </w:p>
        </w:tc>
        <w:tc>
          <w:tcPr>
            <w:tcW w:w="7840" w:type="dxa"/>
            <w:shd w:val="clear" w:color="auto" w:fill="316729"/>
            <w:vAlign w:val="center"/>
          </w:tcPr>
          <w:p w14:paraId="1DD64113" w14:textId="77777777" w:rsidR="00593906" w:rsidRDefault="00A37975">
            <w:pPr>
              <w:jc w:val="center"/>
            </w:pPr>
            <w:r>
              <w:rPr>
                <w:rFonts w:ascii="Calibri" w:hAnsi="Calibri" w:cs="Calibri"/>
                <w:b/>
                <w:color w:val="FFFFFF"/>
              </w:rPr>
              <w:t>Program</w:t>
            </w:r>
          </w:p>
        </w:tc>
      </w:tr>
      <w:tr w:rsidR="00593906" w14:paraId="5CB5D8FB" w14:textId="77777777">
        <w:tc>
          <w:tcPr>
            <w:tcW w:w="2600" w:type="dxa"/>
            <w:tcBorders>
              <w:bottom w:val="dotted" w:sz="3" w:space="0" w:color="275317"/>
            </w:tcBorders>
            <w:shd w:val="clear" w:color="auto" w:fill="F4F9EB"/>
            <w:vAlign w:val="center"/>
          </w:tcPr>
          <w:p w14:paraId="591B3BC5" w14:textId="77777777" w:rsidR="00593906" w:rsidRDefault="00A37975">
            <w:pPr>
              <w:numPr>
                <w:ilvl w:val="0"/>
                <w:numId w:val="2"/>
              </w:numPr>
              <w:ind w:left="240" w:hanging="300"/>
              <w:jc w:val="both"/>
            </w:pPr>
            <w:r>
              <w:rPr>
                <w:rFonts w:ascii="Calibri" w:hAnsi="Calibri" w:cs="Calibri"/>
                <w:b/>
                <w:color w:val="0D381F"/>
                <w:shd w:val="clear" w:color="auto" w:fill="F4F9EB"/>
              </w:rPr>
              <w:t>GBEPC2021 – 4.1.3.2</w:t>
            </w:r>
          </w:p>
        </w:tc>
        <w:tc>
          <w:tcPr>
            <w:tcW w:w="8840" w:type="dxa"/>
            <w:tcBorders>
              <w:bottom w:val="dotted" w:sz="3" w:space="0" w:color="275317"/>
            </w:tcBorders>
            <w:shd w:val="clear" w:color="auto" w:fill="F4F9EB"/>
            <w:vAlign w:val="center"/>
          </w:tcPr>
          <w:p w14:paraId="04D0E38A" w14:textId="77777777" w:rsidR="00593906" w:rsidRDefault="00A37975">
            <w:pPr>
              <w:numPr>
                <w:ilvl w:val="0"/>
                <w:numId w:val="2"/>
              </w:numPr>
              <w:ind w:left="240" w:hanging="300"/>
              <w:jc w:val="both"/>
            </w:pPr>
            <w:r>
              <w:rPr>
                <w:rFonts w:ascii="Calibri" w:hAnsi="Calibri" w:cs="Calibri"/>
                <w:color w:val="0D381F"/>
                <w:shd w:val="clear" w:color="auto" w:fill="F4F9EB"/>
              </w:rPr>
              <w:t xml:space="preserve">Green Animal </w:t>
            </w:r>
            <w:r>
              <w:rPr>
                <w:rFonts w:ascii="Calibri" w:hAnsi="Calibri" w:cs="Calibri"/>
                <w:color w:val="0D381F"/>
                <w:shd w:val="clear" w:color="auto" w:fill="F4F9EB"/>
              </w:rPr>
              <w:t>Husbandry</w:t>
            </w:r>
          </w:p>
        </w:tc>
      </w:tr>
      <w:tr w:rsidR="00593906" w14:paraId="2005E7AA" w14:textId="77777777">
        <w:tc>
          <w:tcPr>
            <w:tcW w:w="2600" w:type="dxa"/>
            <w:shd w:val="clear" w:color="auto" w:fill="F4F9EB"/>
            <w:vAlign w:val="center"/>
          </w:tcPr>
          <w:p w14:paraId="475209B2" w14:textId="77777777" w:rsidR="00593906" w:rsidRDefault="00A37975">
            <w:pPr>
              <w:numPr>
                <w:ilvl w:val="0"/>
                <w:numId w:val="2"/>
              </w:numPr>
              <w:ind w:left="240" w:hanging="300"/>
              <w:jc w:val="both"/>
            </w:pPr>
            <w:r>
              <w:rPr>
                <w:rFonts w:ascii="Calibri" w:hAnsi="Calibri" w:cs="Calibri"/>
                <w:b/>
                <w:color w:val="0D381F"/>
                <w:shd w:val="clear" w:color="auto" w:fill="F4F9EB"/>
              </w:rPr>
              <w:t>GBEPC2021 – 4.1.3.3</w:t>
            </w:r>
          </w:p>
        </w:tc>
        <w:tc>
          <w:tcPr>
            <w:tcW w:w="8840" w:type="dxa"/>
            <w:shd w:val="clear" w:color="auto" w:fill="F4F9EB"/>
            <w:vAlign w:val="center"/>
          </w:tcPr>
          <w:p w14:paraId="314ADCD0" w14:textId="77777777" w:rsidR="00593906" w:rsidRDefault="00A37975">
            <w:pPr>
              <w:numPr>
                <w:ilvl w:val="0"/>
                <w:numId w:val="2"/>
              </w:numPr>
              <w:ind w:left="240" w:hanging="300"/>
              <w:jc w:val="both"/>
            </w:pPr>
            <w:r>
              <w:rPr>
                <w:rFonts w:ascii="Calibri" w:hAnsi="Calibri" w:cs="Calibri"/>
                <w:color w:val="0D381F"/>
                <w:shd w:val="clear" w:color="auto" w:fill="F4F9EB"/>
              </w:rPr>
              <w:t>Green Fishery</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4037"/>
        <w:gridCol w:w="6403"/>
      </w:tblGrid>
      <w:tr w:rsidR="00593906" w14:paraId="3A07B041" w14:textId="77777777">
        <w:tc>
          <w:tcPr>
            <w:tcW w:w="0" w:type="auto"/>
            <w:shd w:val="clear" w:color="auto" w:fill="316729"/>
            <w:vAlign w:val="center"/>
          </w:tcPr>
          <w:p w14:paraId="1D951EE8" w14:textId="77777777" w:rsidR="00593906" w:rsidRDefault="00A37975">
            <w:pPr>
              <w:jc w:val="center"/>
            </w:pPr>
            <w:r>
              <w:rPr>
                <w:rFonts w:ascii="Calibri" w:hAnsi="Calibri" w:cs="Calibri"/>
                <w:b/>
                <w:color w:val="FFFFFF"/>
              </w:rPr>
              <w:t>Project Category</w:t>
            </w:r>
          </w:p>
        </w:tc>
        <w:tc>
          <w:tcPr>
            <w:tcW w:w="0" w:type="auto"/>
            <w:shd w:val="clear" w:color="auto" w:fill="316729"/>
            <w:vAlign w:val="center"/>
          </w:tcPr>
          <w:p w14:paraId="7CCF5BF5" w14:textId="77777777" w:rsidR="00593906" w:rsidRDefault="00A37975">
            <w:pPr>
              <w:jc w:val="center"/>
            </w:pPr>
            <w:r>
              <w:rPr>
                <w:rFonts w:ascii="Calibri" w:hAnsi="Calibri" w:cs="Calibri"/>
                <w:b/>
                <w:color w:val="FFFFFF"/>
              </w:rPr>
              <w:t>Impact Indicator</w:t>
            </w:r>
          </w:p>
        </w:tc>
      </w:tr>
      <w:tr w:rsidR="00593906" w14:paraId="0F360C0E" w14:textId="77777777">
        <w:tc>
          <w:tcPr>
            <w:tcW w:w="0" w:type="auto"/>
            <w:shd w:val="clear" w:color="auto" w:fill="F4F9EB"/>
            <w:vAlign w:val="center"/>
          </w:tcPr>
          <w:p w14:paraId="540176F8" w14:textId="77777777" w:rsidR="00593906" w:rsidRDefault="00A37975">
            <w:pPr>
              <w:jc w:val="center"/>
            </w:pPr>
            <w:r>
              <w:rPr>
                <w:rFonts w:ascii="Calibri" w:hAnsi="Calibri" w:cs="Calibri"/>
                <w:b/>
                <w:color w:val="0D381F"/>
              </w:rPr>
              <w:t xml:space="preserve">Environmentally </w:t>
            </w:r>
            <w:r>
              <w:rPr>
                <w:rFonts w:ascii="Calibri" w:hAnsi="Calibri" w:cs="Calibri"/>
                <w:b/>
                <w:color w:val="0D381F"/>
              </w:rPr>
              <w:t>Sustainable Management Of Living Natural Resources And Land Use</w:t>
            </w:r>
          </w:p>
        </w:tc>
        <w:tc>
          <w:tcPr>
            <w:tcW w:w="0" w:type="auto"/>
            <w:shd w:val="clear" w:color="auto" w:fill="F4F9EB"/>
            <w:vAlign w:val="center"/>
          </w:tcPr>
          <w:p w14:paraId="573DDB43" w14:textId="77777777" w:rsidR="00593906" w:rsidRDefault="00A37975">
            <w:pPr>
              <w:numPr>
                <w:ilvl w:val="0"/>
                <w:numId w:val="2"/>
              </w:numPr>
              <w:ind w:left="240" w:hanging="300"/>
            </w:pPr>
            <w:r>
              <w:rPr>
                <w:rFonts w:ascii="Calibri" w:hAnsi="Calibri" w:cs="Calibri"/>
                <w:color w:val="0D381F"/>
                <w:shd w:val="clear" w:color="auto" w:fill="F4F9EB"/>
              </w:rPr>
              <w:t>Farmland covered by new, or rehabilitated efficient irrigation, water efficient crops and/or resource conserving crop rotation (ha or km²)</w:t>
            </w:r>
          </w:p>
          <w:p w14:paraId="7B118B01" w14:textId="77777777" w:rsidR="00593906" w:rsidRDefault="00A37975">
            <w:pPr>
              <w:numPr>
                <w:ilvl w:val="0"/>
                <w:numId w:val="2"/>
              </w:numPr>
              <w:ind w:left="240" w:hanging="300"/>
            </w:pPr>
            <w:r>
              <w:rPr>
                <w:rFonts w:ascii="Calibri" w:hAnsi="Calibri" w:cs="Calibri"/>
                <w:color w:val="0D381F"/>
                <w:shd w:val="clear" w:color="auto" w:fill="F4F9EB"/>
              </w:rPr>
              <w:t xml:space="preserve">Water savings from improved irrigation, </w:t>
            </w:r>
            <w:r>
              <w:rPr>
                <w:rFonts w:ascii="Calibri" w:hAnsi="Calibri" w:cs="Calibri"/>
                <w:color w:val="0D381F"/>
                <w:shd w:val="clear" w:color="auto" w:fill="F4F9EB"/>
              </w:rPr>
              <w:t>stormwater and rainwater capture, groundwater recharge and/or the reuse of highly treated wastewater (e.g. m³/year)</w:t>
            </w:r>
          </w:p>
          <w:p w14:paraId="6B0E9441" w14:textId="77777777" w:rsidR="00593906" w:rsidRDefault="00A37975">
            <w:pPr>
              <w:numPr>
                <w:ilvl w:val="0"/>
                <w:numId w:val="2"/>
              </w:numPr>
              <w:ind w:left="240" w:hanging="300"/>
            </w:pPr>
            <w:r>
              <w:rPr>
                <w:rFonts w:ascii="Calibri" w:hAnsi="Calibri" w:cs="Calibri"/>
                <w:color w:val="0D381F"/>
                <w:shd w:val="clear" w:color="auto" w:fill="F4F9EB"/>
              </w:rPr>
              <w:t>Increase in area under certified organic or sustainable agriculture (ha and % of acreage farmed)</w:t>
            </w:r>
          </w:p>
          <w:p w14:paraId="295A7B39" w14:textId="77777777" w:rsidR="00593906" w:rsidRDefault="00A37975">
            <w:pPr>
              <w:numPr>
                <w:ilvl w:val="0"/>
                <w:numId w:val="2"/>
              </w:numPr>
              <w:ind w:left="240" w:hanging="300"/>
            </w:pPr>
            <w:r>
              <w:rPr>
                <w:rFonts w:ascii="Calibri" w:hAnsi="Calibri" w:cs="Calibri"/>
                <w:color w:val="0D381F"/>
                <w:shd w:val="clear" w:color="auto" w:fill="F4F9EB"/>
              </w:rPr>
              <w:t>Conversion of agricultural land to more div</w:t>
            </w:r>
            <w:r>
              <w:rPr>
                <w:rFonts w:ascii="Calibri" w:hAnsi="Calibri" w:cs="Calibri"/>
                <w:color w:val="0D381F"/>
                <w:shd w:val="clear" w:color="auto" w:fill="F4F9EB"/>
              </w:rPr>
              <w:t>erse cropping systems (e.g. agroforestry) (ha and % of acreage farmed)</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E9B73" w14:textId="77777777" w:rsidR="00A37975" w:rsidRDefault="00A37975">
      <w:r>
        <w:separator/>
      </w:r>
    </w:p>
  </w:endnote>
  <w:endnote w:type="continuationSeparator" w:id="0">
    <w:p w14:paraId="7BCE6F85" w14:textId="77777777" w:rsidR="00A37975" w:rsidRDefault="00A3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A37975"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Pr>
                                  <w:rFonts w:ascii="Calibri" w:hAnsi="Calibri" w:cs="Calibri"/>
                                  <w:color w:val="B5B5B5"/>
                                  <w:sz w:val="15"/>
                                  <w:szCs w:val="15"/>
                                </w:rPr>
                                <w:t>Huaiyuan Investment Group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Huaiyuan Investment Group Co., Ltd.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A37975">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E99DC4F8079B534F8161517F7C5891B6"/>
                              </w:placeholder>
                              <w:showingPlcHdr/>
                              <w15:appearance w15:val="hidden"/>
                            </w:sdtPr>
                            <w:sdtEndPr/>
                            <w:sdtContent>
                              <w:r>
                                <w:rPr>
                                  <w:rFonts w:ascii="Calibri" w:hAnsi="Calibri" w:cs="Calibri"/>
                                  <w:color w:val="B5B5B5"/>
                                  <w:sz w:val="15"/>
                                  <w:szCs w:val="15"/>
                                </w:rPr>
                                <w:t>December 23,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23,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B6B3" w14:textId="77777777" w:rsidR="00A37975" w:rsidRDefault="00A37975">
      <w:r>
        <w:separator/>
      </w:r>
    </w:p>
  </w:footnote>
  <w:footnote w:type="continuationSeparator" w:id="0">
    <w:p w14:paraId="0BB77C76" w14:textId="77777777" w:rsidR="00A37975" w:rsidRDefault="00A3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6" type="#_x0000_t75" style="width:13.7pt;height:13.9pt" o:bullet="t">
        <v:imagedata r:id="rId1" o:title=""/>
      </v:shape>
    </w:pict>
  </w:numPicBullet>
  <w:numPicBullet w:numPicBulletId="1">
    <w:pict>
      <v:shape w14:anchorId="591255BA" id="_x0000_i1387"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6883"/>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9390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46CB"/>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37975"/>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3E6"/>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5C4A"/>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1C4AF5"/>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7529"/>
    <w:rsid w:val="00477E8A"/>
    <w:rsid w:val="00527176"/>
    <w:rsid w:val="00545CF4"/>
    <w:rsid w:val="00570D9C"/>
    <w:rsid w:val="00571E52"/>
    <w:rsid w:val="005D76A8"/>
    <w:rsid w:val="005F15DE"/>
    <w:rsid w:val="0062750D"/>
    <w:rsid w:val="00666A06"/>
    <w:rsid w:val="006716CC"/>
    <w:rsid w:val="00695C6B"/>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63DE3"/>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E99DC4F8079B534F8161517F7C5891B6">
    <w:name w:val="E99DC4F8079B534F8161517F7C5891B6"/>
    <w:rsid w:val="001C4AF5"/>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17</Pages>
  <Words>4270</Words>
  <Characters>24342</Characters>
  <Application>Microsoft Office Word</Application>
  <DocSecurity>0</DocSecurity>
  <Lines>202</Lines>
  <Paragraphs>57</Paragraphs>
  <ScaleCrop>false</ScaleCrop>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2680</cp:revision>
  <cp:lastPrinted>2024-09-22T06:23:00Z</cp:lastPrinted>
  <dcterms:created xsi:type="dcterms:W3CDTF">2024-10-21T10:39:00Z</dcterms:created>
  <dcterms:modified xsi:type="dcterms:W3CDTF">2024-12-23T03:15:00Z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