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0E055E87">
                <wp:simplePos x="0" y="0"/>
                <wp:positionH relativeFrom="column">
                  <wp:posOffset>127000</wp:posOffset>
                </wp:positionH>
                <wp:positionV relativeFrom="paragraph">
                  <wp:posOffset>39370</wp:posOffset>
                </wp:positionV>
                <wp:extent cx="4953000" cy="864870"/>
                <wp:effectExtent l="0" t="0" r="0" b="0"/>
                <wp:wrapNone/>
                <wp:docPr id="1963121520" name="文本框 8"/>
                <wp:cNvGraphicFramePr/>
                <a:graphic xmlns:a="http://schemas.openxmlformats.org/drawingml/2006/main">
                  <a:graphicData uri="http://schemas.microsoft.com/office/word/2010/wordprocessingShape">
                    <wps:wsp>
                      <wps:cNvSpPr txBox="1"/>
                      <wps:spPr>
                        <a:xfrm>
                          <a:off x="0" y="0"/>
                          <a:ext cx="4953000"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Pingdu City Development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1pt;width:390pt;height:68.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IqILwIAACgEAAAOAAAAZHJzL2Uyb0RvYy54bWysU82O0zAQviPxDpbvNEn/tq2arsquipAq&#13;&#10;dqWCOLuO3USKPcZ2m5QHgDfgxIU7z7XPwdhpuxVwQlycyXzz+83M/LZVNTkI6yrQOc16KSVCcygq&#13;&#10;vcvph/erVxNKnGe6YDVokdOjcPR28fLFvDEz0YcS6kJYgkG0mzUmp6X3ZpYkjpdCMdcDIzSCEqxi&#13;&#10;Hn/tLiksazC6qpN+mo6TBmxhLHDhHGrvO5AuYnwpBfcPUjrhSZ1TrM3H18Z3G95kMWeznWWmrPip&#13;&#10;DPYPVShWaUx6CXXPPCN7W/0RSlXcggPpexxUAlJWXMQesJss/a2bTcmMiL0gOc5caHL/Lyx/d3i0&#13;&#10;pCpwdtPxIOtnoz7SpJnCWT19+/r0/efTjy9kEnhqjJuh+cagg29fQ4s+Z71DZWi/lVaFLzZGEMdQ&#13;&#10;xwvLovWEo3I4HQ3SFCGO2GQ8nNzEMSTP3sY6/0aAIkHIqcUpRnLZYe08VoKmZ5OQTMOqqus4yVqT&#13;&#10;JqfjwSiNDhcEPWqNjqGHrtYg+Xbbxt775z62UByxPQvdojjDVxXWsGbOPzKLm4Fl47b7B3xkDZgL&#13;&#10;ThIlJdjPf9MHexwYopQ0uGk5dZ/2zApK6rcaRznNhkMM6+PPcHQTBmCvke01ovfqDnCZM7wrw6MY&#13;&#10;7H19FqUF9RGPYhmyIsQ0x9w59Wfxznf7j0fFxXIZjXAZDfNrvTE8hO5YXe49yCoSHtjquDmRiOsY&#13;&#10;53A6nbDv1//R6vnAF78AAAD//wMAUEsDBBQABgAIAAAAIQDX6c3L4AAAAA0BAAAPAAAAZHJzL2Rv&#13;&#10;d25yZXYueG1sTE9NS8NAEL0L/odlBG92Y6glpNmUEimC6KG1F2+T7DQJ7kfMbtvor3d6qpeBx3vz&#13;&#10;PorVZI040Rh67xQ8zhIQ5Bqve9cq2H9sHjIQIaLTaLwjBT8UYFXe3hSYa392WzrtYivYxIUcFXQx&#13;&#10;DrmUoenIYpj5gRxzBz9ajAzHVuoRz2xujUyTZCEt9o4TOhyo6qj52h2tgtdq847bOrXZr6le3g7r&#13;&#10;4Xv/+aTU/d30vOSzXoKINMXrB1w2cH8ouVjtj04HYRRwBCsVLFIQTGfJBdesm6dzkGUh/68o/wAA&#13;&#10;AP//AwBQSwECLQAUAAYACAAAACEAtoM4kv4AAADhAQAAEwAAAAAAAAAAAAAAAAAAAAAAW0NvbnRl&#13;&#10;bnRfVHlwZXNdLnhtbFBLAQItABQABgAIAAAAIQA4/SH/1gAAAJQBAAALAAAAAAAAAAAAAAAAAC8B&#13;&#10;AABfcmVscy8ucmVsc1BLAQItABQABgAIAAAAIQBkTIqILwIAACgEAAAOAAAAAAAAAAAAAAAAAC4C&#13;&#10;AABkcnMvZTJvRG9jLnhtbFBLAQItABQABgAIAAAAIQDX6c3L4AAAAA0BAAAPAAAAAAAAAAAAAAAA&#13;&#10;AIkEAABkcnMvZG93bnJldi54bWxQSwUGAAAAAAQABADzAAAAlgU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Pingdu City Development Group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平度市城市开发集团有限公司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平度市城市开发集团有限公司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bBgkwEAABQDAAAOAAAAZHJzL2Uyb0RvYy54bWysUttOAjEQfTfxH5q+ywICkg0LUQm+GDUB&#13;&#10;P6B0W7bJttO0hV3+3mmXi9E340svM9PTc87MbNHqmhyE8wpMQQe9PiXCcCiV2RX0c7O6m1LiAzMl&#13;&#10;q8GIgh6Fp4v57c2ssbkYQgV1KRxBEOPzxha0CsHmWeZ5JTTzPbDCYFKC0yzg1e2y0rEG0XWdDfv9&#13;&#10;SdaAK60DLrzH6LJL0nnCl1Lw8C6lF4HUBUVuIa0urdu4ZvMZy3eO2UrxEw32BxaaKYOfXqCWLDCy&#13;&#10;d+oXlFbcgQcZehx0BlIqLpIGVDPo/1CzrpgVSQua4+3FJv9/sPzt8OGIKrF3E0oM09ijjWjDE7Rk&#13;&#10;MI72NNbnWLW2WBdajGPpOe4xGFW30um4ox6CeTT6eDEXwQjH4PB+OB2PxpRwzI3GD9i9CJNdX1vn&#13;&#10;w4sATeKhoA6blzxlh1cfutJzSfzMwErVdYxHih2VeArttk2KRmeaWyiPyL7BNhfU4BxS4kL9DGkm&#13;&#10;OqjHfQCp0i8Ro3txgkbrE8/TmMTefr+nquswz78AAAD//wMAUEsDBBQABgAIAAAAIQCe2+O45gAA&#13;&#10;AA8BAAAPAAAAZHJzL2Rvd25yZXYueG1sTI/BTsMwEETvSPyDtUhcUGvHgQqlcSpEBReqItoeODqx&#13;&#10;SQLxOordNPD1XU5wWWm1b2Zn8tXkOjbaIbQeFSRzAcxi5U2LtYLD/ml2DyxEjUZ3Hq2CbxtgVVxe&#13;&#10;5Doz/oRvdtzFmpEJhkwraGLsM85D1Vinw9z3Fun24QenI61Dzc2gT2TuOi6FWHCnW6QPje7tY2Or&#13;&#10;r93RKfh5HTZeys1zUr6n7RjXN5/bl61S11fTeknjYQks2in+KeC3A+WHgoKV/ogmsE7BLJELQhWk&#13;&#10;QgIjIL27TYCVRAopgRc5/9+jOAMAAP//AwBQSwECLQAUAAYACAAAACEAtoM4kv4AAADhAQAAEwAA&#13;&#10;AAAAAAAAAAAAAAAAAAAAW0NvbnRlbnRfVHlwZXNdLnhtbFBLAQItABQABgAIAAAAIQA4/SH/1gAA&#13;&#10;AJQBAAALAAAAAAAAAAAAAAAAAC8BAABfcmVscy8ucmVsc1BLAQItABQABgAIAAAAIQCCIbBgkwEA&#13;&#10;ABQDAAAOAAAAAAAAAAAAAAAAAC4CAABkcnMvZTJvRG9jLnhtbFBLAQItABQABgAIAAAAIQCe2+O4&#13;&#10;5gAAAA8BAAAPAAAAAAAAAAAAAAAAAO0DAABkcnMvZG93bnJldi54bWxQSwUGAAAAAAQABADzAAAA&#13;&#10;AAU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22B4EB1B"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Pingdu City Development Group CO., LTD Sustainable Finance Framework, assessing its alignment with the GBP2021 (with 2022 Appendix I), SBG2021, GLP2023, SBP2023 and SLP2023, relevance to the </w:t>
                            </w:r>
                            <w:r w:rsidR="00CA6B7A">
                              <w:rPr>
                                <w:rFonts w:ascii="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Pingdu City Development Group CO., LTD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22B4EB1B"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Pingdu City Development Group CO., LTD Sustainable Finance Framework, assessing its alignment with the GBP2021 (with 2022 Appendix I), SBG2021, GLP2023, SBP2023 and SLP2023, relevance to the </w:t>
                      </w:r>
                      <w:r w:rsidR="00CA6B7A">
                        <w:rPr>
                          <w:rFonts w:ascii="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Pingdu City Development Group CO., LTD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Shandong,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Shandong,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Dec 16, 2024</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Dec 16, 2024</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E1blQEAABUDAAAOAAAAZHJzL2Uyb0RvYy54bWysUstOwzAQvCPxD5bvNH1ToqYVUJULAqSW&#13;&#10;D3Adu7EUey3bbdK/Z+2+ENwQFyfeXc/OzO503uqa7IXzCkxBe50uJcJwKJXZFvRzvbybUOIDMyWr&#13;&#10;wYiCHoSn89ntzbSxuehDBXUpHEEQ4/PGFrQKweZZ5nklNPMdsMJgUoLTLODVbbPSsQbRdZ31u91x&#13;&#10;1oArrQMuvMfo4piks4QvpeDhXUovAqkLitxCOl06N/HMZlOWbx2zleInGuwPLDRTBpteoBYsMLJz&#13;&#10;6heUVtyBBxk6HHQGUioukgZU0+v+ULOqmBVJC5rj7cUm/3+w/G3/4YgqC9q/p8QwjTNaizY8QUt6&#13;&#10;42hPY32OVSuLdaHFOI75HPcYjKpb6XT8oh6CeTT6cDEXwQiPj4aDh9FwRAnH3HA8GQ+S+9n1tXU+&#13;&#10;vAjQJP4U1OHwkqds/+oDMsHSc0lsZmCp6jrGI8UjlfgX2k2bFPVGZ54bKA9Iv8E5F9TgIlLiQv0M&#13;&#10;aSmOWI+7AFKlNhHk+OKEjd6n7qc9icP9fk9V122efQEAAP//AwBQSwMEFAAGAAgAAAAhAPZtUETj&#13;&#10;AAAADAEAAA8AAABkcnMvZG93bnJldi54bWxMT8tOwzAQvCPxD9YicUGt84AqTeNUiAouVEW0HDg6&#13;&#10;sUkC8Tqy3TTw9V1OcFlpNI+dKdaT6dmone8sCojnETCNtVUdNgLeDo+zDJgPEpXsLWoB39rDury8&#13;&#10;KGSu7Alf9bgPDaMQ9LkU0IYw5Jz7utVG+rkdNBL3YZ2RgaBruHLyROGm50kULbiRHdKHVg76odX1&#13;&#10;1/5oBPy8uK1Nku1TXL2n3Rg2N5+7550Q11fTZkXnfgUs6Cn8OeB3A/WHkopV9ojKs17A3fKWlAKW&#13;&#10;KTCik2wRA6sEZGkMvCz4/xHlGQAA//8DAFBLAQItABQABgAIAAAAIQC2gziS/gAAAOEBAAATAAAA&#13;&#10;AAAAAAAAAAAAAAAAAABbQ29udGVudF9UeXBlc10ueG1sUEsBAi0AFAAGAAgAAAAhADj9If/WAAAA&#13;&#10;lAEAAAsAAAAAAAAAAAAAAAAALwEAAF9yZWxzLy5yZWxzUEsBAi0AFAAGAAgAAAAhAKg4TVuVAQAA&#13;&#10;FQMAAA4AAAAAAAAAAAAAAAAALgIAAGRycy9lMm9Eb2MueG1sUEsBAi0AFAAGAAgAAAAhAPZtUETj&#13;&#10;AAAADAEAAA8AAAAAAAAAAAAAAAAA7wMAAGRycy9kb3ducmV2LnhtbFBLBQYAAAAABAAEAPMAAAD/&#13;&#10;B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W55lQEAABQDAAAOAAAAZHJzL2Uyb0RvYy54bWysUstOwzAQvCPxD5bvNGkEpYqaIh6CCwIk&#13;&#10;4ANcx24sxV7La5r071m7DxDcEBcn3l3Pzszu4mq0PduogAZcw6eTkjPlJLTGrRv+/nZ/NucMo3Ct&#13;&#10;6MGphm8V8qvl6cli8LWqoIO+VYERiMN68A3vYvR1UaDslBU4Aa8cJTUEKyJdw7pogxgI3fZFVZaz&#13;&#10;YoDQ+gBSIVL0bpfky4yvtZLxWWtUkfUNJ24xnyGfq3QWy4Wo10H4zsg9DfEHFlYYR02PUHciCvYR&#13;&#10;zC8oa2QABB0nEmwBWhupsgZSMy1/qHnthFdZC5mD/mgT/h+sfNq8BGbahs8qzpywNKM3NcYbGNl0&#13;&#10;nuwZPNZU9eqpLo4UpzEf4kjBpHrUwaYv6WGUJ6O3R3MJjEkKzqvL8/KCM0mp6nI2n2Xzi6/HPmB8&#13;&#10;UGBZ+ml4oNllS8XmESMRodJDSerl4N70fYonhjsm6S+OqzELqs4PNFfQbon9QGNuuKM95CzE/hby&#13;&#10;TiQs9NcfkfBymwSye7HHJutz9/2apNl+v+eqr2VefgIAAP//AwBQSwMEFAAGAAgAAAAhAP0MiaXh&#13;&#10;AAAADQEAAA8AAABkcnMvZG93bnJldi54bWxMj0FPg0AQhe8m/ofNmHizCygUKUtjWj1bqz9gy46A&#13;&#10;sLOE3bbor3d60sskk/fmzfvK9WwHccLJd44UxIsIBFLtTEeNgo/3l7schA+ajB4coYJv9LCurq9K&#13;&#10;XRh3pjc87UMjOIR8oRW0IYyFlL5u0Wq/cCMSa59usjrwOjXSTPrM4XaQSRRl0uqO+EOrR9y0WPf7&#13;&#10;o1WQR/a17x+TnbcPP3HabrbuefxS6vZm3q54PK1ABJzD3wVcGLg/VFzs4I5kvBgUpOmSnQqS+xTE&#13;&#10;Rc8zBjwoyJYxyKqU/ymqXwAAAP//AwBQSwECLQAUAAYACAAAACEAtoM4kv4AAADhAQAAEwAAAAAA&#13;&#10;AAAAAAAAAAAAAAAAW0NvbnRlbnRfVHlwZXNdLnhtbFBLAQItABQABgAIAAAAIQA4/SH/1gAAAJQB&#13;&#10;AAALAAAAAAAAAAAAAAAAAC8BAABfcmVscy8ucmVsc1BLAQItABQABgAIAAAAIQCYAW55lQEAABQD&#13;&#10;AAAOAAAAAAAAAAAAAAAAAC4CAABkcnMvZTJvRG9jLnhtbFBLAQItABQABgAIAAAAIQD9DIml4QAA&#13;&#10;AA0BAAAPAAAAAAAAAAAAAAAAAO8DAABkcnMvZG93bnJldi54bWxQSwUGAAAAAAQABADzAAAA/QQA&#13;&#10;AA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yXqrAEAABwDAAAOAAAAZHJzL2Uyb0RvYy54bWysUs1uEzEQviPxDpbvzW62SVtW2VRAVS4I&#13;&#10;kFoewPHaWUtrj/E42c0LwBtw4sKd58pzdOz8FMENcRnb8/PN9814cTvanm1VQAOu4dNJyZlyElrj&#13;&#10;1g3//Hh/ccMZRuFa0YNTDd8p5LfLly8Wg69VBR30rQqMQBzWg294F6OviwJlp6zACXjlKKghWBHp&#13;&#10;GdZFG8RA6LYvqrK8KgYIrQ8gFSJ57w5Bvsz4WisZP2qNKrK+4cQtZhuyXSVbLBeiXgfhOyOPNMQ/&#13;&#10;sLDCOGp6hroTUbBNMH9BWSMDIOg4kWAL0NpIlTWQmmn5h5qHTniVtdBw0J/HhP8PVn7YfgrMtLS7&#13;&#10;8pIG5ISlLe2/f9v/+LX/+ZVNy+pVGtLgsabcB0/ZcXwDIxWc/EjOpH3UwaaTVDGKE9ruPGI1RibJ&#13;&#10;eV3OZzdzziSFqtn8ejZPKMVzsQ8Y3ymwLF0aHmiDebBi+x7jIfWUkno5uDd9n/yJ4YFJusVxNWZZ&#13;&#10;1dWJ5graHbEfaNkNxy8bERRnIfZvIf+NhIb+9SYSYm6UYA41R3RaQaZ6/C5px7+/c9bzp14+AQAA&#13;&#10;//8DAFBLAwQUAAYACAAAACEAqtBi2+AAAAAOAQAADwAAAGRycy9kb3ducmV2LnhtbExPTU/DMAy9&#13;&#10;I/EfIiNxY+laWlDXdJoYSBy4MMo9a0xT0ThVk63dv8ec4GLZes/vo9oubhBnnELvScF6lYBAar3p&#13;&#10;qVPQfLzcPYIIUZPRgydUcMEA2/r6qtKl8TO94/kQO8EiFEqtwMY4llKG1qLTYeVHJMa+/OR05HPq&#13;&#10;pJn0zOJukGmSFNLpntjB6hGfLLbfh5NTEKPZrS/Nswuvn8vbfrZJm+tGqdubZb/hsduAiLjEvw/4&#13;&#10;7cD5oeZgR38iE8Sg4D5Nc6YqSB8KEEzIs4yXo4KiyEDWlfxfo/4BAAD//wMAUEsBAi0AFAAGAAgA&#13;&#10;AAAhALaDOJL+AAAA4QEAABMAAAAAAAAAAAAAAAAAAAAAAFtDb250ZW50X1R5cGVzXS54bWxQSwEC&#13;&#10;LQAUAAYACAAAACEAOP0h/9YAAACUAQAACwAAAAAAAAAAAAAAAAAvAQAAX3JlbHMvLnJlbHNQSwEC&#13;&#10;LQAUAAYACAAAACEAB7Ml6qwBAAAcAwAADgAAAAAAAAAAAAAAAAAuAgAAZHJzL2Uyb0RvYy54bWxQ&#13;&#10;SwECLQAUAAYACAAAACEAqtBi2+AAAAAOAQAADwAAAAAAAAAAAAAAAAAGBAAAZHJzL2Rvd25yZXYu&#13;&#10;eG1sUEsFBgAAAAAEAAQA8wAAABMFA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2+uqgEAABwDAAAOAAAAZHJzL2Uyb0RvYy54bWysUkuOEzEQ3SNxB8t70p1Wkhla6YyA0bBB&#13;&#10;gDRwAMdtpy21XcblpDsXgBuwYsOec+UcU3Y+g2Z2iE3Zrs+r96q8vBltz3YqoAHX8Omk5Ew5Ca1x&#13;&#10;m4Z//XL36pozjMK1ogenGr5XyG9WL18sB1+rCjroWxUYgTisB9/wLkZfFwXKTlmBE/DKUVBDsCLS&#13;&#10;M2yKNoiB0G1fVGW5KAYIrQ8gFSJ5b49Bvsr4WisZP2mNKrK+4cQtZhuyXSdbrJai3gThOyNPNMQ/&#13;&#10;sLDCOGp6gboVUbBtMM+grJEBEHScSLAFaG2kyhpIzbR8oua+E15lLTQc9Jcx4f+DlR93nwMzLe2u&#13;&#10;rF5z5oSlLR1+/jj8+nP4/Z2R9zoNafBYU+69p+w4voWRCs5+JGfSPupg00mqGMVp3PvLiNUYmSTn&#13;&#10;bLqYLygiKVTN5lezeUIpHot9wPhegWXp0vBAG8yDFbsPGI+p55TUy8Gd6fvkTwyPTNItjusxy6qu&#13;&#10;zjTX0O6J/UDLbjh+24qgOAuxfwf5byQ09G+2kRBzowRzrDmh0woy1dN3STv++52zHj/16gEAAP//&#13;&#10;AwBQSwMEFAAGAAgAAAAhABuO1sbiAAAADgEAAA8AAABkcnMvZG93bnJldi54bWxMj0FPwzAMhe9I&#13;&#10;/IfISNy2dB0dU9d0mhhIHLgwyt1rsqaicaomW7t/jzmxi2XL9nvvK7aT68TFDKH1pGAxT0AYqr1u&#13;&#10;qVFQfb3N1iBCRNLYeTIKribAtry/KzDXfqRPcznERrAIhRwV2Bj7XMpQW+MwzH1viHcnPziMPA6N&#13;&#10;1AOOLO46mSbJSjpsiR0s9ubFmvrncHYKYtS7xbV6deH9e/rYjzapM6yUenyY9hsuuw2IaKb4/wF/&#13;&#10;DJwfSg529GfSQXQK0ueMgaKCWZaC4IPlU7ICceRmmYEsC3mLUf4CAAD//wMAUEsBAi0AFAAGAAgA&#13;&#10;AAAhALaDOJL+AAAA4QEAABMAAAAAAAAAAAAAAAAAAAAAAFtDb250ZW50X1R5cGVzXS54bWxQSwEC&#13;&#10;LQAUAAYACAAAACEAOP0h/9YAAACUAQAACwAAAAAAAAAAAAAAAAAvAQAAX3JlbHMvLnJlbHNQSwEC&#13;&#10;LQAUAAYACAAAACEADsNvrqoBAAAcAwAADgAAAAAAAAAAAAAAAAAuAgAAZHJzL2Uyb0RvYy54bWxQ&#13;&#10;SwECLQAUAAYACAAAACEAG47WxuIAAAAOAQAADwAAAAAAAAAAAAAAAAAEBAAAZHJzL2Rvd25yZXYu&#13;&#10;eG1sUEsFBgAAAAAEAAQA8wAAABM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jOBqwEAABwDAAAOAAAAZHJzL2Uyb0RvYy54bWysUktu2zAQ3RfIHQjua8lq4gaC5SBpkG6K&#13;&#10;tkCSA9AUaREQOQyHtuQLtDfoqpvuey6fI0PGsYNkV3QzJOfzZt4bzi9G27ONCmjANXw6KTlTTkJr&#13;&#10;3Krh93c37885wyhcK3pwquFbhfxicfJuPvhaVdBB36rACMRhPfiGdzH6uihQdsoKnIBXjoIaghWR&#13;&#10;nmFVtEEMhG77oirLWTFAaH0AqRDJe/0U5IuMr7WS8ZvWqCLrG06zxWxDtstki8Vc1KsgfGfkfgzx&#13;&#10;D1NYYRw1PUBdiyjYOpg3UNbIAAg6TiTYArQ2UmUOxGZavmJz2wmvMhcSB/1BJvx/sPLr5ntgpqXd&#13;&#10;lR+mnDlhaUu7Xz93v//u/vxg5M0iDR5ryr31lB3HKxipIImX/EjOxH3UwaaTWDGKk9zbg8RqjEyS&#13;&#10;8/Tj2Wx2xpmkUHU6q6qMUhyLfcD4WYFl6dLwQBvMworNF4zUkFKfU1IvBzem75P/OEm6xXE5ZlrV&#13;&#10;+fOYS2i3NP1Ay244PqxFUJyF2H+C/DcSGvrLdSTE3CjBPNXs0WkFuf/+u6Qdv3znrOOnXjwCAAD/&#13;&#10;/wMAUEsDBBQABgAIAAAAIQD4M+1f4QAAAA4BAAAPAAAAZHJzL2Rvd25yZXYueG1sTE9NT8MwDL0j&#13;&#10;8R8iI3Hb0lFaja7pNDGQOHBhlLvXhKaicaomW7t/jzmxi2XrPb+Pcju7XpzNGDpPClbLBIShxuuO&#13;&#10;WgX15+tiDSJEJI29J6PgYgJsq9ubEgvtJ/ow50NsBYtQKFCBjXEopAyNNQ7D0g+GGPv2o8PI59hK&#13;&#10;PeLE4q6XD0mSS4cdsYPFwTxb0/wcTk5BjHq3utQvLrx9ze/7ySZNhrVS93fzfsNjtwERzRz/P+Cv&#13;&#10;A+eHioMd/Yl0EL2CPHnKmapgkWUgmJCvH3k5KkjTFGRVyusa1S8AAAD//wMAUEsBAi0AFAAGAAgA&#13;&#10;AAAhALaDOJL+AAAA4QEAABMAAAAAAAAAAAAAAAAAAAAAAFtDb250ZW50X1R5cGVzXS54bWxQSwEC&#13;&#10;LQAUAAYACAAAACEAOP0h/9YAAACUAQAACwAAAAAAAAAAAAAAAAAvAQAAX3JlbHMvLnJlbHNQSwEC&#13;&#10;LQAUAAYACAAAACEA5JIzgasBAAAcAwAADgAAAAAAAAAAAAAAAAAuAgAAZHJzL2Uyb0RvYy54bWxQ&#13;&#10;SwECLQAUAAYACAAAACEA+DPtX+EAAAAOAQAADwAAAAAAAAAAAAAAAAAF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Pu7lwEAABYDAAAOAAAAZHJzL2Uyb0RvYy54bWysUttO4zAQfV+Jf7D8TnORCN2oKeIieEG7&#13;&#10;KwEf4Dp2Yyn2WB7TpH+/Y7cUBG+IFyeeGZ8558ysrmY7sp0KaMB1vFqUnCknoTdu2/GX5/vzJWcY&#13;&#10;hevFCE51fK+QX63Pfq0m36oaBhh7FRiBOGwn3/EhRt8WBcpBWYEL8MpRUkOwItI1bIs+iInQ7VjU&#13;&#10;ZdkUE4TeB5AKkaJ3hyRfZ3ytlYx/tUYV2dhx4hbzGfK5SWexXol2G4QfjDzSEN9gYYVx1PQEdSei&#13;&#10;YK/BfIGyRgZA0HEhwRagtZEqayA1VflJzdMgvMpayBz0J5vw52Dln92/wExPsyvrC86csDSlZzXH&#13;&#10;G5hZ9TsZNHlsqe7JU2WcKU7Fb3GkYNI962DTlxQxypPV+5O9BMYkBZdV01SUkZSqL5tlk+0v3h/7&#13;&#10;gPFBgWXpp+OBppdNFbtHjESESt9KUi8H92YcUzwxPDBJf3HezFlSfaK/gX5P7CcadMcdbSJnIY63&#13;&#10;kLciYaG/fo2El9skkMOLIzaZn7sfFyVN9+M9V72v8/o/AAAA//8DAFBLAwQUAAYACAAAACEAPbbW&#13;&#10;4N8AAAANAQAADwAAAGRycy9kb3ducmV2LnhtbEyPwU7DMAyG70i8Q2QkbixdRUfpmk5ogzNs8ABZ&#13;&#10;4zVdG6dqsq3w9HgnuFiyf/v3/5WryfXijGNoPSmYzxIQSLU3LTUKvj7fHnIQIWoyuveECr4xwKq6&#13;&#10;vSl1YfyFtnjexUawCYVCK7AxDoWUobbodJj5AYm1gx+djtyOjTSjvrC562WaJAvpdEv8weoB1xbr&#13;&#10;bndyCvLEvXfdc/oR3OPPPLPrjX8djkrd302bJZeXJYiIU/y7gCsD54eKg+39iUwQvYLsKeVNnqfM&#13;&#10;ddXzjHn2LGQLkFUp/1NUvwAAAP//AwBQSwECLQAUAAYACAAAACEAtoM4kv4AAADhAQAAEwAAAAAA&#13;&#10;AAAAAAAAAAAAAAAAW0NvbnRlbnRfVHlwZXNdLnhtbFBLAQItABQABgAIAAAAIQA4/SH/1gAAAJQB&#13;&#10;AAALAAAAAAAAAAAAAAAAAC8BAABfcmVscy8ucmVsc1BLAQItABQABgAIAAAAIQAEiPu7lwEAABYD&#13;&#10;AAAOAAAAAAAAAAAAAAAAAC4CAABkcnMvZTJvRG9jLnhtbFBLAQItABQABgAIAAAAIQA9ttbg3wAA&#13;&#10;AA0BAAAPAAAAAAAAAAAAAAAAAPEDAABkcnMvZG93bnJldi54bWxQSwUGAAAAAAQABADzAAAA/QQA&#13;&#10;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kUarwEAACIDAAAOAAAAZHJzL2Uyb0RvYy54bWysUkuOEzEQ3SNxB8t70p3/TCudETAaNgiQ&#13;&#10;Bg7guO20pbbLuJx05wJwA1Zs2HOunIOyk0kQ7BCbsl2fV69eeXU32I7tVUADrubjUcmZchIa47Y1&#13;&#10;//Tx4cUNZxiFa0QHTtX8oJDfrZ8/W/W+UhNooWtUYATisOp9zdsYfVUUKFtlBY7AK0dBDcGKSM+w&#13;&#10;LZogekK3XTEpy0XRQ2h8AKkQyXt/CvJ1xtdayfhea1SRdTUnbjHbkO0m2WK9EtU2CN8aeaYh/oGF&#13;&#10;FcZR0wvUvYiC7YL5C8oaGQBBx5EEW4DWRqo8A00zLv+Y5rEVXuVZSBz0F5nw/8HKd/sPgZmGdre4&#13;&#10;Xd7eTBdLkskJS7s6fvt6/P7z+OMLG5fTLFXvsaKKR081cXgFA5UlCZMfyZkUGHSw6aTZGMUJ7XAR&#13;&#10;Wg2RSXLOlvPFeM6ZpNBkNl/O5gmluBb7gPGNAsvSpeaB9pjlFfu3GE+pTympl4MH03XJf2WSbnHY&#13;&#10;DHm46eSJ5gaaA7HvaeU1x887ERRnIXavIf+QhIb+5S4SYm6UYE41Z3RaRKZ6/jRp07+/c9b1a69/&#13;&#10;AQAA//8DAFBLAwQUAAYACAAAACEAchtu+uIAAAAOAQAADwAAAGRycy9kb3ducmV2LnhtbEyPQU/D&#13;&#10;MAyF70j8h8hI3FhaKGXrmk4TA4nDLoxy95rQVDRO1WRr9+8xJ7hYst7z8/vKzex6cTZj6DwpSBcJ&#13;&#10;CEON1x21CuqP17sliBCRNPaejIKLCbCprq9KLLSf6N2cD7EVHEKhQAU2xqGQMjTWOAwLPxhi7cuP&#13;&#10;DiOvYyv1iBOHu17eJ0kuHXbEHywO5tma5vtwcgpi1Nv0Ur+48PY573eTTZpHrJW6vZl3ax7bNYho&#13;&#10;5vh3Ab8M3B8qLnb0J9JB9AryZJWxlYWUwdiQL7MHEEcF2eoJZFXK/xjVDwAAAP//AwBQSwECLQAU&#13;&#10;AAYACAAAACEAtoM4kv4AAADhAQAAEwAAAAAAAAAAAAAAAAAAAAAAW0NvbnRlbnRfVHlwZXNdLnht&#13;&#10;bFBLAQItABQABgAIAAAAIQA4/SH/1gAAAJQBAAALAAAAAAAAAAAAAAAAAC8BAABfcmVscy8ucmVs&#13;&#10;c1BLAQItABQABgAIAAAAIQA28kUarwEAACIDAAAOAAAAAAAAAAAAAAAAAC4CAABkcnMvZTJvRG9j&#13;&#10;LnhtbFBLAQItABQABgAIAAAAIQByG2764gAAAA4BAAAPAAAAAAAAAAAAAAAAAAk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8EasQEAACEDAAAOAAAAZHJzL2Uyb0RvYy54bWysUktu2zAQ3RfoHQjua31iW4ZgOWgTpJui&#13;&#10;LZDmADRFWgTETzi0JV+gvUFX3XTfc/kcHdKfBMmu6GZIzufNmzdcXo+6JzvhQVnT0GKSUyIMt60y&#13;&#10;m4Y+fLt7t6AEAjMt660RDd0LoNert2+Wg6tFaTvbt8ITBDFQD66hXQiuzjLgndAMJtYJg0FpvWYB&#13;&#10;n36TtZ4NiK77rMzzeTZY3zpvuQBA7+0xSFcJX0rBwxcpQQTSNxS5hWR9sutos9WS1RvPXKf4iQb7&#13;&#10;BxaaKYNNL1C3LDCy9eoVlFbcW7AyTLjVmZVScZFmwGmK/MU09x1zIs2C4oC7yAT/D5Z/3n31RLUN&#13;&#10;rRZVWVVlWVBimMZVHX7+OPz6c/j9nRR5uYhKDQ5qLLh3WBLGD3bEjZ/9gM4owCi9jieORjCOmu8v&#13;&#10;OosxEI7OaTGfzTHCMVROZ9V0FlGyp2LnIXwUVpN4aajHNSZ12e4ThGPqOSX2MvZO9X30R4ZHJvEW&#13;&#10;xvWYZru6OtNc23aP7AfceEPhccu8oMSH/samDxLRwL3fBkRMjSLMseaEjntIVE9/Ji76+TtlPf3s&#13;&#10;1V8AAAD//wMAUEsDBBQABgAIAAAAIQAVFs8V4QAAAA4BAAAPAAAAZHJzL2Rvd25yZXYueG1sTE/L&#13;&#10;TsMwELwj8Q/WInGjdtpA2zROVVGQOPRCCfdtvCQRsR3FbpP+PcsJLiOtZnYe+XaynbjQEFrvNCQz&#13;&#10;BYJc5U3rag3lx+vDCkSI6Ax23pGGKwXYFrc3OWbGj+6dLsdYCzZxIUMNTYx9JmWoGrIYZr4nx9yX&#13;&#10;HyxGPodamgFHNrednCv1JC22jhMa7Om5oer7eLYaYjS75Fq+2PD2OR32Y6OqRyy1vr+b9huG3QZE&#13;&#10;pCn+fcDvBu4PBRc7+bMzQXQa5st0yVImVAqCBYtULUCcNKTrBGSRy/8zih8AAAD//wMAUEsBAi0A&#13;&#10;FAAGAAgAAAAhALaDOJL+AAAA4QEAABMAAAAAAAAAAAAAAAAAAAAAAFtDb250ZW50X1R5cGVzXS54&#13;&#10;bWxQSwECLQAUAAYACAAAACEAOP0h/9YAAACUAQAACwAAAAAAAAAAAAAAAAAvAQAAX3JlbHMvLnJl&#13;&#10;bHNQSwECLQAUAAYACAAAACEAbcvBGrEBAAAhAwAADgAAAAAAAAAAAAAAAAAuAgAAZHJzL2Uyb0Rv&#13;&#10;Yy54bWxQSwECLQAUAAYACAAAACEAFRbPFeEAAAAOAQAADwAAAAAAAAAAAAAAAAALBAAAZHJzL2Rv&#13;&#10;d25yZXYueG1sUEsFBgAAAAAEAAQA8wAAABkFA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UTlsgEAACEDAAAOAAAAZHJzL2Uyb0RvYy54bWysUktu2zAQ3RfIHQjua8mqrMSC5aBpkG6K&#13;&#10;NkDaA9AUaREQOSxJW/IF2ht01U33OZfPkSH9SZDuim6G5HzevHnDxfWoe7IVziswDZ1OckqE4dAq&#13;&#10;s27ot693b68o8YGZlvVgREN3wtPr5cWbxWBrUUAHfSscQRDj68E2tAvB1lnmeSc08xOwwmBQgtMs&#13;&#10;4NOts9axAdF1nxV5XmUDuNY64MJ79N4egnSZ8KUUPHyR0otA+oYit5CsS3YVbbZcsHrtmO0UP9Jg&#13;&#10;/8BCM2Ww6RnqlgVGNk79BaUVd+BBhgkHnYGUios0A04zzV9N89AxK9IsKI63Z5n8/4Pln7f3jqi2&#13;&#10;oVVRVfOyms4pMUzjqva/fu5/P+7//CDTvJhHpQbrayx4sFgSxhsYceMnv0dnFGCUTscTRyMYR813&#13;&#10;Z53FGAhH52U+K69mlHAMFeXsspxFlOy52DofPgrQJF4a6nCNSV22/eTDIfWUEnsZuFN9H/2R4YFJ&#13;&#10;vIVxNabZ3pUnmitod8h+wI031H/fMCcocaH/AOmDRDRv328CIqZGEeZQc0THPSSqxz8TF/3ynbKe&#13;&#10;f/byCQAA//8DAFBLAwQUAAYACAAAACEAbDkeHuEAAAAOAQAADwAAAGRycy9kb3ducmV2LnhtbEyP&#13;&#10;zU7DMBCE70i8g7VI3KjdhPKTxqkqChIHLpRw38ZLHBHbUew26duznOCy0uqbnZ0pN7PrxYnG2AWv&#13;&#10;YblQIMg3wXS+1VB/vNw8gIgJvcE+eNJwpgib6vKixMKEyb/TaZ9awSY+FqjBpjQUUsbGksO4CAN5&#13;&#10;Zl9hdJh4HVtpRpzY3PUyU+pOOuw8f7A40JOl5nt/dBpSMtvluX528fVzfttNVjUrrLW+vpp3ax7b&#13;&#10;NYhEc/q7gN8OnB8qDnYIR2+i6DXcZtk9SxmoHAQLVnnOhQ5MHhXIqpT/a1Q/AAAA//8DAFBLAQIt&#13;&#10;ABQABgAIAAAAIQC2gziS/gAAAOEBAAATAAAAAAAAAAAAAAAAAAAAAABbQ29udGVudF9UeXBlc10u&#13;&#10;eG1sUEsBAi0AFAAGAAgAAAAhADj9If/WAAAAlAEAAAsAAAAAAAAAAAAAAAAALwEAAF9yZWxzLy5y&#13;&#10;ZWxzUEsBAi0AFAAGAAgAAAAhAPdtROWyAQAAIQMAAA4AAAAAAAAAAAAAAAAALgIAAGRycy9lMm9E&#13;&#10;b2MueG1sUEsBAi0AFAAGAAgAAAAhAGw5Hh7hAAAADgEAAA8AAAAAAAAAAAAAAAAADAQAAGRycy9k&#13;&#10;b3ducmV2LnhtbFBLBQYAAAAABAAEAPMAAAAaBQ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2XzlwEAABYDAAAOAAAAZHJzL2Uyb0RvYy54bWysUsuO2zAMvBfoPwi6N3ZcxA2MOEF3g+2l&#13;&#10;aAsk/QBFlmIBliiI2tj5+1LKa9G9Fb1QEkkNOUOuNpMd2EkFNOBaPp+VnCknoTPu2PLf+5dPS84w&#13;&#10;CteJAZxq+Vkh36w/fliNvlEV9DB0KjACcdiMvuV9jL4pCpS9sgJn4JWjoIZgRaRnOBZdECOh26Go&#13;&#10;yrIuRgidDyAVInm3lyBfZ3ytlYw/tUYV2dBy6i1mG7I9JFusV6I5BuF7I69tiH/owgrjqOgdaiui&#13;&#10;YK/BvIOyRgZA0HEmwRagtZEqcyA28/IvNrteeJW5kDjo7zLh/4OVP06/AjMdza6sas6csDSlvZri&#13;&#10;E0ysygKNHhvK23nKjBP5KTkJl/xIzsR70sGmkxgxipPU57u8BMYkOZflYjlfcCYpVH2pl3VGLx6f&#13;&#10;fcD4TYFl6dLyQNPLoorTd4xUkFJvKamWgxczDMn/6CTd4nSYMqXP9a3NA3Rn6n6kQbfc0SZyFuLw&#13;&#10;DHkrEhb6r6+R8HKZBHL5ccUm8XP166Kk6b5956zHOq//AAAA//8DAFBLAwQUAAYACAAAACEAMG64&#13;&#10;3N0AAAAMAQAADwAAAGRycy9kb3ducmV2LnhtbExPS07DMBDdI3EHa5DYUSdVWtI0ToVaWAOFA7jx&#13;&#10;NA6Jx1HstoHTM13BZj56M+9TbibXizOOofWkIJ0lIJBqb1pqFHx+vDzkIELUZHTvCRV8Y4BNdXtT&#13;&#10;6sL4C73jeR8bwSQUCq3AxjgUUobaotNh5gckxo5+dDryOjbSjPrC5K6X8yRZSqdbYgWrB9xarLv9&#13;&#10;ySnIE/fadav5W3DZT7qw251/Hr6Uur+bdmsuT2sQEaf49wHXDOwfKjZ28CcyQfQKFo8pX3LnWFc4&#13;&#10;z3g4KMjyJciqlP9DVL8AAAD//wMAUEsBAi0AFAAGAAgAAAAhALaDOJL+AAAA4QEAABMAAAAAAAAA&#13;&#10;AAAAAAAAAAAAAFtDb250ZW50X1R5cGVzXS54bWxQSwECLQAUAAYACAAAACEAOP0h/9YAAACUAQAA&#13;&#10;CwAAAAAAAAAAAAAAAAAvAQAAX3JlbHMvLnJlbHNQSwECLQAUAAYACAAAACEARfNl85cBAAAWAwAA&#13;&#10;DgAAAAAAAAAAAAAAAAAuAgAAZHJzL2Uyb0RvYy54bWxQSwECLQAUAAYACAAAACEAMG643N0AAAAM&#13;&#10;AQAADwAAAAAAAAAAAAAAAADxAwAAZHJzL2Rvd25yZXYueG1sUEsFBgAAAAAEAAQA8wAAAPsEAAAA&#13;&#10;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WHisQEAACIDAAAOAAAAZHJzL2Uyb0RvYy54bWysUktu2zAQ3RfIHQjua0m2JSeC5aBpkG6K&#13;&#10;tkDaA9AUaREQP+XQlnyB9gZdddN9z+VzZEg7dtDuim6G5HzevHnD5e2oe7ITHpQ1DS0mOSXCcNsq&#13;&#10;s2nol88Pr68pgcBMy3prREP3Aujt6urVcnC1mNrO9q3wBEEM1INraBeCq7MMeCc0g4l1wmBQWq9Z&#13;&#10;wKffZK1nA6LrPpvmeZUN1rfOWy4A0Ht/DNJVwpdS8PBRShCB9A1FbiFZn+w62my1ZPXGM9cpfqLB&#13;&#10;/oGFZspg0zPUPQuMbL36C0or7i1YGSbc6sxKqbhIM+A0Rf7HNI8dcyLNguKAO8sE/w+Wf9h98kS1&#13;&#10;uLuqLKubWVFWlBimcVeHH98PP38ffn0jRT5LUg0Oaqx4dFgTxjs7YlmUMPoBnVGBUXodT5yNYBxF&#13;&#10;35+FFmMgHJ3zRVkVJSUcQ9N5uZiXESW7FDsP4Z2wmsRLQz3uMcnLdu8hHFOfU2IvYx9U30f/hUm8&#13;&#10;hXE9puFmi2eaa9vukf2AK28ofN0yLyjxoX9r0w+JaODebAMipkYR5lhzQsdFJKqnTxM3/fKdsi5f&#13;&#10;e/UEAAD//wMAUEsDBBQABgAIAAAAIQAyWTRs4AAAAA0BAAAPAAAAZHJzL2Rvd25yZXYueG1sTI9B&#13;&#10;T8MwDIXvSPyHyEjcWDJUyuiaThMDiQOXjXLPmtBUNE7VeGv37zEnuFi2nt7z98rNHHpxdmPqImpY&#13;&#10;LhQIh020HbYa6o/XuxWIRAat6SM6DReXYFNdX5WmsHHCvTsfqBUcgqkwGjzRUEiZGu+CSYs4OGTt&#13;&#10;K47BEJ9jK+1oJg4PvbxXKpfBdMgfvBncs3fN9+EUNBDZ7fJSv4T09jm/7yavmgdTa317M+/WPLZr&#13;&#10;EORm+nPAbwfmh4rBjvGENoleQ66emJ9YeATBer7KeDlqyFQGsirl/xbVDwAAAP//AwBQSwECLQAU&#13;&#10;AAYACAAAACEAtoM4kv4AAADhAQAAEwAAAAAAAAAAAAAAAAAAAAAAW0NvbnRlbnRfVHlwZXNdLnht&#13;&#10;bFBLAQItABQABgAIAAAAIQA4/SH/1gAAAJQBAAALAAAAAAAAAAAAAAAAAC8BAABfcmVscy8ucmVs&#13;&#10;c1BLAQItABQABgAIAAAAIQB4NWHisQEAACIDAAAOAAAAAAAAAAAAAAAAAC4CAABkcnMvZTJvRG9j&#13;&#10;LnhtbFBLAQItABQABgAIAAAAIQAyWTRs4AAAAA0BAAAPAAAAAAAAAAAAAAAAAAsEAABkcnMvZG93&#13;&#10;bnJldi54bWxQSwUGAAAAAAQABADzAAAAGAU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CY8sAEAACEDAAAOAAAAZHJzL2Uyb0RvYy54bWysUs1uEzEQviP1HSzfm/1pEsIqm4pSlQsC&#13;&#10;pMIDOF5v1tLa43qc7OYF4A04ceHOc+U5GDtpWpUb4jK25+ebb77x8no0PdspjxpszYtJzpmyEhpt&#13;&#10;NzX/+uXucsEZBmEb0YNVNd8r5Neri1fLwVWqhA76RnlGIBarwdW8C8FVWYayU0bgBJyyFGzBGxHo&#13;&#10;6TdZ48VA6KbPyjyfZwP4xnmQCpG8t8cgXyX8tlUyfGpbVIH1NSduIVmf7DrabLUU1cYL12l5oiH+&#13;&#10;gYUR2lLTM9StCIJtvf4LymjpAaENEwkmg7bVUqUZaJoifzHNfSecSrOQOOjOMuH/g5Ufd589003N&#13;&#10;F4tpkb8piyvOrDC0qsOP74efvw+/vrEiLxdRqcFhRQX3jkrCeAMjbfzRj+SMAoytN/Gk0RjFSfP9&#13;&#10;WWc1BibJOS3mszlFJIXK6ez1dBZRsqdi5zG8V2BYvNTc0xqTumL3AcMx9TEl9rJwp/s++iPDI5N4&#13;&#10;C+N6TLNdnemvodkT+4E2XnN82AqvOPOhfwfpg0Q0dG+3gRBTowhzrDmh0x4S1dOfiYt+/k5ZTz97&#13;&#10;9QcAAP//AwBQSwMEFAAGAAgAAAAhAHmwW/ffAAAADQEAAA8AAABkcnMvZG93bnJldi54bWxMj0FP&#13;&#10;wzAMhe9I/IfISNxY0sJgdE2niYHEgQuj3L0mNBWNUzXZ2v17zAkulq3Pfn6v3My+Fyc7xi6Qhmyh&#13;&#10;QFhqgumo1VB/vNysQMSEZLAPZDWcbYRNdXlRYmHCRO/2tE+tYBGKBWpwKQ2FlLFx1mNchMESs68w&#13;&#10;ekw8jq00I04s7nuZK3UvPXbEHxwO9snZ5nt/9BpSMtvsXD/7+Po5v+0mp5ol1lpfX827NZftGkSy&#13;&#10;c/q7gN8M7B8qNnYIRzJR9Bryh2XOqwwyEMxv7xTnOXDzuAJZlfJ/iuoHAAD//wMAUEsBAi0AFAAG&#13;&#10;AAgAAAAhALaDOJL+AAAA4QEAABMAAAAAAAAAAAAAAAAAAAAAAFtDb250ZW50X1R5cGVzXS54bWxQ&#13;&#10;SwECLQAUAAYACAAAACEAOP0h/9YAAACUAQAACwAAAAAAAAAAAAAAAAAvAQAAX3JlbHMvLnJlbHNQ&#13;&#10;SwECLQAUAAYACAAAACEAMYwmPLABAAAhAwAADgAAAAAAAAAAAAAAAAAuAgAAZHJzL2Uyb0RvYy54&#13;&#10;bWxQSwECLQAUAAYACAAAACEAebBb998AAAANAQAADwAAAAAAAAAAAAAAAAAKBAAAZHJzL2Rvd25y&#13;&#10;ZXYueG1sUEsFBgAAAAAEAAQA8wAAABYFA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glhsgEAACIDAAAOAAAAZHJzL2Uyb0RvYy54bWysUktu2zAQ3RfIHQjua0mOFSeC5aBpkG6K&#13;&#10;NkDaA9AUaQkQOSyHtuQLtDfoqpvucy6fI0PacYJ2V3QzJOfz5s0bLq5H07Ot8tiBrXkxyTlTVkLT&#13;&#10;2XXNv365e3vJGQZhG9GDVTXfKeTXy7M3i8FVagot9I3yjEAsVoOreRuCq7IMZauMwAk4ZSmowRsR&#13;&#10;6OnXWePFQOimz6Z5fpEN4BvnQSpE8t4egnyZ8LVWMnzWGlVgfc2JW0jWJ7uKNlsuRLX2wrWdPNIQ&#13;&#10;/8DCiM5S0xPUrQiCbXz3F5TppAcEHSYSTAZad1KlGWiaIv9jmodWOJVmIXHQnWTC/wcrP23vPesa&#13;&#10;2l1+PpsXeVlccGaFoV3tf/7Y/3rc//7Oinx6FaUaHFZU8eCoJow3MFLZsx/JGRUYtTfxpNkYxUn0&#13;&#10;3UloNQYmyTnPy9llyZmk0HRWzmdlRMleip3H8EGBYfFSc097TPKK7UcMh9TnlNjLwl3X99EfGR6Y&#13;&#10;xFsYV2Ma7vxEfwXNjtgPtPKa47eN8IozH/r3kH5IREP3bhMIMTWKMIeaIzotIlE9fpq46dfvlPXy&#13;&#10;tZdPAAAA//8DAFBLAwQUAAYACAAAACEAZDVwW+AAAAANAQAADwAAAGRycy9kb3ducmV2LnhtbEyP&#13;&#10;S0/DMBCE70j8B2uRuFE7ffBI41QVBYlDL5Rw38YmjojXUew26b9nOcFlpdU3OztTbCbfibMdYhtI&#13;&#10;QzZTICzVwbTUaKg+Xu8eQcSEZLALZDVcbIRNeX1VYG7CSO/2fEiNYBOKOWpwKfW5lLF21mOchd4S&#13;&#10;s68weEy8Do00A45s7js5V+peemyJPzjs7bOz9ffh5DWkZLbZpXrx8e1z2u9Gp+oVVlrf3ky7NY/t&#13;&#10;GkSyU/q7gN8OnB9KDnYMJzJRdBqW8+yJpQweQDBfLRZc8MhALUGWhfzfovwBAAD//wMAUEsBAi0A&#13;&#10;FAAGAAgAAAAhALaDOJL+AAAA4QEAABMAAAAAAAAAAAAAAAAAAAAAAFtDb250ZW50X1R5cGVzXS54&#13;&#10;bWxQSwECLQAUAAYACAAAACEAOP0h/9YAAACUAQAACwAAAAAAAAAAAAAAAAAvAQAAX3JlbHMvLnJl&#13;&#10;bHNQSwECLQAUAAYACAAAACEAwxIJYbIBAAAiAwAADgAAAAAAAAAAAAAAAAAuAgAAZHJzL2Uyb0Rv&#13;&#10;Yy54bWxQSwECLQAUAAYACAAAACEAZDVwW+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oLlQEAABcDAAAOAAAAZHJzL2Uyb0RvYy54bWysUk1PwzAMvSPxH6LcWbuCxlStm/gQXBAg&#13;&#10;AT8gS5M1UhNHcVi7f48Txobghrikje08v/fsxWq0PduqgAZcw6eTkjPlJLTGbRr+9np3NucMo3Ct&#13;&#10;6MGphu8U8tXy9GQx+FpV0EHfqsAIxGE9+IZ3Mfq6KFB2ygqcgFeOkhqCFZGuYVO0QQyEbvuiKstZ&#13;&#10;MUBofQCpECl6+5nky4yvtZLxSWtUkfUNJ24xnyGf63QWy4WoN0H4zsg9DfEHFlYYR00PULciCvYe&#13;&#10;zC8oa2QABB0nEmwBWhupsgZSMy1/qHnphFdZC5mD/mAT/h+sfNw+B2Zaml1ZXXLmhKUpvaoxXsPI&#13;&#10;qmkyaPBYU92Lp8o4UpyKv+JIwaR71MGmLylilCerdwd7CYzJ9Oi8nM3PKSUpV13O5rPsf3F87QPG&#13;&#10;ewWWpZ+GBxpfdlVsHzASEyr9KknNHNyZvk/xRPGTSvqL43rMmi5ygxRaQ7sj+gNNuuGOVpGzEPsb&#13;&#10;yGuRsNBfvUfCy22OL/bY5H7uvt+UNN7v91x13OflBwAAAP//AwBQSwMEFAAGAAgAAAAhALckPF/f&#13;&#10;AAAADAEAAA8AAABkcnMvZG93bnJldi54bWxMT8tOwzAQvCPxD9YicaNO07SkaZwKtXAGCh/gxksc&#13;&#10;Eq+j2G0DX89ygstIo9mdR7mdXC/OOIbWk4L5LAGBVHvTUqPg/e3pLgcRoiaje0+o4AsDbKvrq1IX&#13;&#10;xl/oFc+H2Ag2oVBoBTbGoZAy1BadDjM/ILH24UenI9OxkWbUFzZ3vUyTZCWdbokTrB5wZ7HuDien&#13;&#10;IE/cc9et05fgsu/50u72/nH4VOr2ZtpvGB42ICJO8e8Dfjdwf6i42NGfyATRM79f8aWC5QIEy2m6&#13;&#10;yEAcFWT5GmRVyv8jqh8AAAD//wMAUEsBAi0AFAAGAAgAAAAhALaDOJL+AAAA4QEAABMAAAAAAAAA&#13;&#10;AAAAAAAAAAAAAFtDb250ZW50X1R5cGVzXS54bWxQSwECLQAUAAYACAAAACEAOP0h/9YAAACUAQAA&#13;&#10;CwAAAAAAAAAAAAAAAAAvAQAAX3JlbHMvLnJlbHNQSwECLQAUAAYACAAAACEA3ZzqC5UBAAAXAwAA&#13;&#10;DgAAAAAAAAAAAAAAAAAuAgAAZHJzL2Uyb0RvYy54bWxQSwECLQAUAAYACAAAACEAtyQ8X98AAAAM&#13;&#10;AQAADwAAAAAAAAAAAAAAAADvAwAAZHJzL2Rvd25yZXYueG1sUEsFBgAAAAAEAAQA8wAAAPsEAAAA&#13;&#10;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iFsAEAACEDAAAOAAAAZHJzL2Uyb0RvYy54bWysUs2O0zAQviPxDpbvNGm32WyjpitgtVwQ&#13;&#10;IC08gOs4jaXYYzxuk74AvAEnLtz3ufocjN1uu4Ib4jK25+ebb77x8nY0PdspjxpszaeTnDNlJTTa&#13;&#10;bmr+5fP9qxvOMAjbiB6sqvleIb9dvXyxHFylZtBB3yjPCMRiNbiadyG4KstQdsoInIBTloIteCMC&#13;&#10;Pf0ma7wYCN302SzPr7MBfOM8SIVI3rtjkK8SftsqGT62LarA+poTt5CsT3YdbbZaimrjheu0PNEQ&#13;&#10;/8DCCG2p6RnqTgTBtl7/BWW09IDQhokEk0HbaqnSDDTNNP9jmodOOJVmIXHQnWXC/wcrP+w+eaab&#13;&#10;mi+KRVmWi6uCMysMrerw4/vh5+Ph1zc2za+SUoPDigoeHJWE8Q2MtPGoYPQjOaMAY+tNPGk0RnHS&#13;&#10;fH/WWY2BSXIWN9flnCKSQrN5Uc6LiJJdip3H8E6BYfFSc09rTOqK3XsMx9SnlNjLwr3u++i/MIm3&#13;&#10;MK7HNNv8THMNzZ7YD7TxmuPXrfCKMx/6t5A+SERD93obCDE1ijDHmhM67SFRPf2ZuOjn75R1+dmr&#13;&#10;3wAAAP//AwBQSwMEFAAGAAgAAAAhAHx0SVvgAAAADQEAAA8AAABkcnMvZG93bnJldi54bWxMj0FP&#13;&#10;wzAMhe9I/IfISNxYsiE61jWdJgbSDlwY5e41oalonKrJ1u7f453gYtn67Of3is3kO3G2Q2wDaZjP&#13;&#10;FAhLdTAtNRqqz7eHZxAxIRnsAlkNFxthU97eFJibMNKHPR9SI1iEYo4aXEp9LmWsnfUYZ6G3xOw7&#13;&#10;DB4Tj0MjzYAji/tOLpTKpMeW+IPD3r44W/8cTl5DSmY7v1SvPu6/pvfd6FT9hJXW93fTbs1luwaR&#13;&#10;7JT+LuCagf1DycaO4UQmik5DplYZrzLgXMyXasHNUcPjagmyLOT/FOUvAAAA//8DAFBLAQItABQA&#13;&#10;BgAIAAAAIQC2gziS/gAAAOEBAAATAAAAAAAAAAAAAAAAAAAAAABbQ29udGVudF9UeXBlc10ueG1s&#13;&#10;UEsBAi0AFAAGAAgAAAAhADj9If/WAAAAlAEAAAsAAAAAAAAAAAAAAAAALwEAAF9yZWxzLy5yZWxz&#13;&#10;UEsBAi0AFAAGAAgAAAAhAN3DCIWwAQAAIQMAAA4AAAAAAAAAAAAAAAAALgIAAGRycy9lMm9Eb2Mu&#13;&#10;eG1sUEsBAi0AFAAGAAgAAAAhAHx0SVvgAAAADQEAAA8AAAAAAAAAAAAAAAAACgQAAGRycy9kb3du&#13;&#10;cmV2LnhtbFBLBQYAAAAABAAEAPMAAAAXBQ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BNGsAEAACIDAAAOAAAAZHJzL2Uyb0RvYy54bWysUkuOEzEQ3SNxB8t70p0mYTKtdEbAaNgg&#13;&#10;QBo4gOO205baLuNy0p0LwA1YsWE/58o5KDufGcEOsfGnyvXq1Xte3oy2ZzsV0IBr+HRScqachNa4&#13;&#10;TcO/fL57seAMo3Ct6MGphu8V8pvV82fLwdeqgg76VgVGIA7rwTe8i9HXRYGyU1bgBLxylNQQrIh0&#13;&#10;DZuiDWIgdNsXVVm+KgYIrQ8gFSJFb49Jvsr4WisZP2qNKrK+4cQt5jXkdZ3WYrUU9SYI3xl5oiH+&#13;&#10;gYUVxlHTC9StiIJtg/kLyhoZAEHHiQRbgNZGqjwDTTMt/5jmvhNe5VlIHPQXmfD/wcoPu0+BmZa8&#13;&#10;m5ZXs3l1Pb/izAlLXh1+fD/8fDj8+samZbVIUg0ea6q491QTxzcwUtk5jhRMCow62LTTbIzyJPr+&#13;&#10;IrQaI5MUXLxckHmcSUpVszn1TSjFY7EPGN8psCwdGh7Ixyyv2L3HeHx6fpJ6ObgzfZ/iieGRSTrF&#13;&#10;cT3m4WbVmeYa2j2xH8jyhuPXrQiKsxD7t5B/SEJD/3obCTE3SjDHmhM6GZGpnj5NcvrpPb96/Nqr&#13;&#10;3wAAAP//AwBQSwMEFAAGAAgAAAAhAApfRzfgAAAADQEAAA8AAABkcnMvZG93bnJldi54bWxMj8FO&#13;&#10;wzAQRO9I/IO1SNyo3VJamsapKgoSh14o4e7G2zgiXkex26R/z3KCy0qj0cy+yTejb8UF+9gE0jCd&#13;&#10;KBBIVbAN1RrKz7eHZxAxGbKmDYQarhhhU9ze5CazYaAPvBxSLbiEYmY0uJS6TMpYOfQmTkKHxN4p&#13;&#10;9N4kln0tbW8GLvetnCm1kN40xB+c6fDFYfV9OHsNKdnt9Fq++vj+Ne53g1PVkym1vr8bd2s+2zWI&#13;&#10;hGP6S8DvBuaHgsGO4Uw2ilbDbDln/sQG72J/rhasjxoeV0uQRS7/ryh+AAAA//8DAFBLAQItABQA&#13;&#10;BgAIAAAAIQC2gziS/gAAAOEBAAATAAAAAAAAAAAAAAAAAAAAAABbQ29udGVudF9UeXBlc10ueG1s&#13;&#10;UEsBAi0AFAAGAAgAAAAhADj9If/WAAAAlAEAAAsAAAAAAAAAAAAAAAAALwEAAF9yZWxzLy5yZWxz&#13;&#10;UEsBAi0AFAAGAAgAAAAhAIKUE0awAQAAIgMAAA4AAAAAAAAAAAAAAAAALgIAAGRycy9lMm9Eb2Mu&#13;&#10;eG1sUEsBAi0AFAAGAAgAAAAhAApfRzfgAAAADQEAAA8AAAAAAAAAAAAAAAAACg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L1zsgEAACIDAAAOAAAAZHJzL2Uyb0RvYy54bWysUktu2zAQ3RfIHQjuY8my1DiC5SBtkG6K&#13;&#10;tkDaA9AUaREQOSxJW/IF2ht01U33OZfP0SH9SZDuimyG5HzevHnDxc2oe7IVziswDZ1OckqE4dAq&#13;&#10;s27ot6/3l3NKfGCmZT0Y0dCd8PRmefFmMdhaFNBB3wpHEMT4erAN7UKwdZZ53gnN/ASsMBiU4DQL&#13;&#10;+HTrrHVsQHTdZ0Wev80GcK11wIX36L07BOky4UspePgspReB9A1FbiFZl+wq2my5YPXaMdspfqTB&#13;&#10;/oOFZspg0zPUHQuMbJz6B0or7sCDDBMOOgMpFRdpBpxmmr+Y5qFjVqRZUBxvzzL514Pln7ZfHFEt&#13;&#10;7m4+uy5neV4VlBimcVf7Xz/3vx/3f36QaV5cR6kG62useLBYE8Z3MGLZye/RGRUYpdPxxNkIxlH0&#13;&#10;3VloMQbC0XmVV+W8ooRjqCirq7KKKNlTsXU+fBCgSbw01OEek7xs+9GHQ+opJfYycK/6PvojwwOT&#13;&#10;eAvjakzDlbMTzRW0O2Q/4Mob6r9vmBOUuNC/h/RDIpq3t5uAiKlRhDnUHNFxEYnq8dPETT9/p6yn&#13;&#10;r738CwAA//8DAFBLAwQUAAYACAAAACEACCaf+98AAAANAQAADwAAAGRycy9kb3ducmV2LnhtbEyP&#13;&#10;QU/DMAyF70j8h8hI3FiybgPUNZ0mBhIHLoxy9xrTVDRJ1WRr9+/xTuNiy/rs5/eKzeQ6caIhtsFr&#13;&#10;mM8UCPJ1MK1vNFRfbw/PIGJCb7ALnjScKcKmvL0pMDdh9J902qdGsIiPOWqwKfW5lLG25DDOQk+e&#13;&#10;2U8YHCYeh0aaAUcWd53MlHqUDlvPHyz29GKp/t0fnYaUzHZ+rl5dfP+ePnajVfUKK63v76bdmst2&#13;&#10;DSLRlK4XcMnA/qFkY4dw9CaKTsMyy554lQE35qvFgvMcGKglyLKQ/1OUfwAAAP//AwBQSwECLQAU&#13;&#10;AAYACAAAACEAtoM4kv4AAADhAQAAEwAAAAAAAAAAAAAAAAAAAAAAW0NvbnRlbnRfVHlwZXNdLnht&#13;&#10;bFBLAQItABQABgAIAAAAIQA4/SH/1gAAAJQBAAALAAAAAAAAAAAAAAAAAC8BAABfcmVscy8ucmVs&#13;&#10;c1BLAQItABQABgAIAAAAIQCFxL1zsgEAACIDAAAOAAAAAAAAAAAAAAAAAC4CAABkcnMvZTJvRG9j&#13;&#10;LnhtbFBLAQItABQABgAIAAAAIQAIJp/73wAAAA0BAAAPAAAAAAAAAAAAAAAAAAwEAABkcnMvZG93&#13;&#10;bnJldi54bWxQSwUGAAAAAAQABADzAAAAGAU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4B212AF6" w:rsidR="00723570" w:rsidRDefault="009A50DC" w:rsidP="003325E2">
      <w:pPr>
        <w:spacing w:beforeLines="50" w:before="163" w:after="160"/>
        <w:jc w:val="both"/>
        <w:rPr>
          <w:rFonts w:ascii="Calibri" w:hAnsi="Calibri" w:cs="Calibri"/>
          <w:b/>
          <w:bCs/>
        </w:rPr>
      </w:pPr>
      <w:r>
        <w:rPr>
          <w:rFonts w:ascii="Calibri" w:hAnsi="Calibri" w:cs="Calibri"/>
          <w:b/>
        </w:rPr>
        <w:t xml:space="preserve">CCXGFI has provided a SPO on Pingdu City Development </w:t>
      </w:r>
      <w:r>
        <w:rPr>
          <w:rFonts w:ascii="Calibri" w:hAnsi="Calibri" w:cs="Calibri"/>
          <w:b/>
          <w:color w:val="FF0000"/>
        </w:rPr>
      </w:r>
      <w:r>
        <w:rPr>
          <w:rFonts w:ascii="Calibri" w:hAnsi="Calibri"/>
          <w:b/>
        </w:rPr>
        <w:t xml:space="preserve">Group CO., LTD </w:t>
      </w:r>
      <w:r>
        <w:rPr>
          <w:rFonts w:ascii="Calibri" w:hAnsi="Calibri"/>
          <w:b/>
        </w:rPr>
        <w:t>Sustainable Finance Framework (the “Sustainable Finance Framework” or “Framework”) with reference to the following 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34514FEF" w14:textId="77777777" w:rsidR="004F74DE" w:rsidRDefault="009A50DC">
      <w:pPr>
        <w:numPr>
          <w:ilvl w:val="0"/>
          <w:numId w:val="3"/>
        </w:numPr>
      </w:pPr>
      <w:r>
        <w:rPr>
          <w:rFonts w:ascii="Calibri" w:hAnsi="Calibri" w:cs="Calibri"/>
        </w:rPr>
        <w:t>GBP2021: Green Bond Principles 2021 (with June 2022 Appendix I) by ICMA</w:t>
      </w:r>
    </w:p>
    <w:p w14:paraId="2E74562C" w14:textId="77777777" w:rsidR="004F74DE" w:rsidRDefault="009A50DC">
      <w:pPr>
        <w:numPr>
          <w:ilvl w:val="0"/>
          <w:numId w:val="3"/>
        </w:numPr>
      </w:pPr>
      <w:r>
        <w:rPr>
          <w:rFonts w:ascii="Calibri" w:hAnsi="Calibri" w:cs="Calibri"/>
        </w:rPr>
        <w:t>SBP2023: Social Bond Principles 2023 by ICMA</w:t>
      </w:r>
    </w:p>
    <w:p w14:paraId="401AA15D" w14:textId="77777777" w:rsidR="004F74DE" w:rsidRDefault="009A50DC">
      <w:pPr>
        <w:numPr>
          <w:ilvl w:val="0"/>
          <w:numId w:val="3"/>
        </w:numPr>
      </w:pPr>
      <w:r>
        <w:rPr>
          <w:rFonts w:ascii="Calibri" w:hAnsi="Calibri" w:cs="Calibri"/>
        </w:rPr>
        <w:t>SBG2021: Sustainability Bond Guidelines 2021 by ICMA</w:t>
      </w:r>
    </w:p>
    <w:p w14:paraId="58AD3C48" w14:textId="77777777" w:rsidR="004F74DE" w:rsidRDefault="009A50DC">
      <w:pPr>
        <w:numPr>
          <w:ilvl w:val="0"/>
          <w:numId w:val="3"/>
        </w:numPr>
      </w:pPr>
      <w:r>
        <w:rPr>
          <w:rFonts w:ascii="Calibri" w:hAnsi="Calibri" w:cs="Calibri"/>
        </w:rPr>
        <w:t>GLP2023: Green Loan Principles 2023 by LMA/AP</w:t>
      </w:r>
      <w:r>
        <w:rPr>
          <w:rFonts w:ascii="Calibri" w:hAnsi="Calibri" w:cs="Calibri"/>
        </w:rPr>
        <w:t>LMA/LSTA</w:t>
      </w:r>
    </w:p>
    <w:p w14:paraId="08EE8BA6" w14:textId="77777777" w:rsidR="004F74DE" w:rsidRDefault="009A50DC">
      <w:pPr>
        <w:numPr>
          <w:ilvl w:val="0"/>
          <w:numId w:val="3"/>
        </w:numPr>
      </w:pPr>
      <w:r>
        <w:rPr>
          <w:rFonts w:ascii="Calibri" w:hAnsi="Calibri" w:cs="Calibri"/>
        </w:rPr>
        <w:t>SLP2023: Social Loan Principles 2023 by 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relevance to the </w:t>
      </w:r>
      <w:r>
        <w:rPr>
          <w:rFonts w:ascii="Calibri" w:hAnsi="Calibri"/>
          <w:color w:val="FF0000"/>
        </w:rPr>
      </w:r>
      <w:r>
        <w:rPr>
          <w:rFonts w:ascii="Calibri" w:hAnsi="Calibri"/>
        </w:rPr>
        <w:t>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16662F63" w14:textId="77777777" w:rsidR="00066056" w:rsidRDefault="009A50DC">
      <w:pPr>
        <w:spacing w:beforeLines="50" w:before="163" w:after="160"/>
        <w:jc w:val="both"/>
        <w:rPr>
          <w:rFonts w:ascii="Calibri" w:hAnsi="Calibri" w:cs="Calibri"/>
        </w:rPr>
      </w:pPr>
      <w:r>
        <w:rPr>
          <w:rFonts w:ascii="Calibri" w:hAnsi="Calibri" w:cs="Calibri"/>
        </w:rPr>
        <w:t xml:space="preserve">Pingdu City Development </w:t>
      </w:r>
      <w:r>
        <w:rPr>
          <w:rFonts w:ascii="Calibri" w:hAnsi="Calibri" w:cs="Calibri"/>
          <w:color w:val="FF0000"/>
        </w:rPr>
      </w:r>
      <w:r>
        <w:rPr>
          <w:rFonts w:ascii="Calibri" w:hAnsi="Calibri"/>
        </w:rPr>
        <w:t xml:space="preserve">Group Co., Ltd. (the Group) is one of the primary entities for infrastructure construction in Pingdu City, especially within the Western New City Zone and the Southern New Zone. On 24 June 2018, the Group was established </w:t>
      </w:r>
      <w:r>
        <w:rPr>
          <w:rFonts w:ascii="Calibri" w:hAnsi="Calibri"/>
        </w:rPr>
        <w:t>as a wholly state-owned enterprise of Pingdu State-owned Assets Management Service Centre.</w:t>
      </w:r>
    </w:p>
    <w:p w14:paraId="5F7960BE" w14:textId="1573CC02" w:rsidR="004F74DE" w:rsidRPr="00066056" w:rsidRDefault="009A50DC">
      <w:pPr>
        <w:spacing w:beforeLines="50" w:before="163" w:after="160"/>
        <w:jc w:val="both"/>
      </w:pPr>
      <w:r>
        <w:rPr>
          <w:rFonts w:ascii="Calibri" w:hAnsi="Calibri" w:cs="Calibri"/>
        </w:rPr>
        <w:t xml:space="preserve">The </w:t>
      </w:r>
      <w:r>
        <w:rPr>
          <w:rFonts w:ascii="Calibri" w:hAnsi="Calibri" w:cs="Calibri"/>
          <w:color w:val="FF0000"/>
        </w:rPr>
      </w:r>
      <w:proofErr w:type="spellStart"/>
      <w:r>
        <w:rPr>
          <w:rFonts w:ascii="Calibri" w:hAnsi="Calibri" w:cs="Calibri"/>
        </w:rPr>
        <w:t>Group primarily conducts its businesses within Pingdu City. By leveraging on strong support (excluding credit support) from Pingdu Government and other local gov</w:t>
      </w:r>
      <w:proofErr w:type="spellEnd"/>
      <w:r>
        <w:rPr>
          <w:rFonts w:ascii="Calibri" w:hAnsi="Calibri" w:cs="Calibri"/>
        </w:rPr>
        <w:t xml:space="preserve">ernmental authorities in Pingdu City, the </w:t>
      </w:r>
      <w:r>
        <w:rPr>
          <w:rFonts w:ascii="Calibri" w:hAnsi="Calibri"/>
          <w:color w:val="FF0000"/>
        </w:rPr>
      </w:r>
      <w:r>
        <w:rPr>
          <w:rFonts w:ascii="Calibri" w:hAnsi="Calibri"/>
        </w:rPr>
        <w:t xml:space="preserve">Group has played an important role in the urbanization construction and development of </w:t>
      </w:r>
      <w:r>
        <w:rPr>
          <w:rFonts w:ascii="Calibri" w:hAnsi="Calibri"/>
        </w:rPr>
        <w:t>Pingdu</w:t>
      </w:r>
      <w:r>
        <w:rPr>
          <w:rFonts w:ascii="Calibri" w:hAnsi="Calibri"/>
        </w:rPr>
        <w:t xml:space="preserve"> City.</w:t>
      </w: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2274F1A" w14:textId="77777777" w:rsidR="004F74DE" w:rsidRDefault="009A50DC">
            <w:pPr>
              <w:numPr>
                <w:ilvl w:val="0"/>
                <w:numId w:val="2"/>
              </w:numPr>
              <w:jc w:val="both"/>
            </w:pPr>
            <w:r>
              <w:rPr>
                <w:rFonts w:ascii="Calibri" w:hAnsi="Calibri" w:cs="Calibri"/>
                <w:color w:val="0D381F"/>
              </w:rPr>
              <w:t xml:space="preserve">For Use of Proceeds, the Eligible Green </w:t>
            </w:r>
            <w:r>
              <w:rPr>
                <w:rFonts w:ascii="Calibri" w:hAnsi="Calibri" w:cs="Calibri"/>
                <w:color w:val="0D381F"/>
              </w:rPr>
              <w:t>and Social Projects Categories includes Sustainable Water and Wastewater Management, Green Building and Affordable Housing.</w:t>
            </w:r>
          </w:p>
          <w:p w14:paraId="291256F0" w14:textId="19DF7F2C" w:rsidR="004F74DE" w:rsidRDefault="009A50DC">
            <w:pPr>
              <w:numPr>
                <w:ilvl w:val="0"/>
                <w:numId w:val="2"/>
              </w:numPr>
              <w:jc w:val="both"/>
            </w:pPr>
            <w:r>
              <w:rPr>
                <w:rFonts w:ascii="Calibri" w:hAnsi="Calibri" w:cs="Calibri"/>
                <w:color w:val="0D381F"/>
              </w:rPr>
              <w:t xml:space="preserve">For Project Evaluation and Selection, the </w:t>
            </w:r>
            <w:r>
              <w:rPr>
                <w:rFonts w:ascii="Calibri" w:hAnsi="Calibri" w:cs="Calibri"/>
                <w:color w:val="FF0000"/>
              </w:rPr>
            </w:r>
            <w:r w:rsidR="00B56C0A">
              <w:rPr>
                <w:rFonts w:ascii="Calibri" w:hAnsi="Calibri" w:cs="Calibri"/>
                <w:color w:val="0D381F"/>
              </w:rPr>
              <w:t xml:space="preserve">Group has set up a reasonable process and built a well-established control structure with </w:t>
            </w:r>
            <w:r>
              <w:rPr>
                <w:rFonts w:ascii="Calibri" w:hAnsi="Calibri" w:cs="Calibri"/>
                <w:color w:val="0D381F"/>
              </w:rPr>
              <w:t>different business departments. The Sustainable Financing Team (the</w:t>
            </w:r>
            <w:r>
              <w:rPr>
                <w:rFonts w:ascii="Calibri" w:hAnsi="Calibri"/>
                <w:color w:val="0D381F"/>
              </w:rPr>
              <w:t xml:space="preserve"> </w:t>
            </w:r>
            <w:r>
              <w:rPr>
                <w:rFonts w:ascii="Calibri" w:hAnsi="Calibri"/>
                <w:color w:val="0D381F"/>
              </w:rPr>
              <w:t>“Team”) members are required to evaluate project compliance, approve project inclusion, monitor and manage the project list, replace non-compliant projects, and observe market developments.</w:t>
            </w:r>
          </w:p>
          <w:p w14:paraId="3F9DFB65" w14:textId="77777777" w:rsidR="004F74DE" w:rsidRDefault="009A50DC">
            <w:pPr>
              <w:numPr>
                <w:ilvl w:val="0"/>
                <w:numId w:val="2"/>
              </w:numPr>
              <w:jc w:val="both"/>
            </w:pPr>
            <w:r>
              <w:rPr>
                <w:rFonts w:ascii="Calibri" w:hAnsi="Calibri" w:cs="Calibri"/>
                <w:color w:val="0D381F"/>
              </w:rPr>
              <w:t xml:space="preserve">For Management of Proceeds, the </w:t>
            </w:r>
            <w:r>
              <w:rPr>
                <w:rFonts w:ascii="Calibri" w:hAnsi="Calibri" w:cs="Calibri"/>
                <w:color w:val="FF0000"/>
              </w:rPr>
            </w:r>
            <w:r>
              <w:rPr>
                <w:rFonts w:ascii="Calibri" w:hAnsi="Calibri"/>
                <w:color w:val="0D381F"/>
              </w:rPr>
              <w:t>Group will maintain a register to keep track of the use of proceeds. The net proceeds will be re-allocated to the eligible replacement projects if the designated projects cease to fulfil the criteria. Also, the unallocated</w:t>
            </w:r>
            <w:r>
              <w:rPr>
                <w:rFonts w:ascii="Calibri" w:hAnsi="Calibri"/>
                <w:color w:val="0D381F"/>
              </w:rPr>
              <w:t xml:space="preserve"> proceeds will be held in accordance with the Group’s normal liquidity management policy.</w:t>
            </w:r>
          </w:p>
          <w:p w14:paraId="2AC2331A" w14:textId="77F5A876" w:rsidR="00066056" w:rsidRDefault="009A50DC" w:rsidP="00066056">
            <w:pPr>
              <w:numPr>
                <w:ilvl w:val="0"/>
                <w:numId w:val="2"/>
              </w:numPr>
              <w:jc w:val="both"/>
              <w:rPr>
                <w:rFonts w:hint="eastAsia"/>
              </w:rPr>
            </w:pPr>
            <w:r>
              <w:rPr>
                <w:rFonts w:ascii="Calibri" w:hAnsi="Calibri" w:cs="Calibri"/>
                <w:color w:val="0D381F"/>
              </w:rPr>
              <w:t xml:space="preserve">For Reporting, the </w:t>
            </w:r>
            <w:r>
              <w:rPr>
                <w:rFonts w:ascii="Calibri" w:hAnsi="Calibri" w:cs="Calibri"/>
                <w:color w:val="FF0000"/>
              </w:rPr>
            </w:r>
            <w:r>
              <w:rPr>
                <w:rFonts w:ascii="Calibri" w:hAnsi="Calibri"/>
                <w:color w:val="0D381F"/>
              </w:rPr>
              <w:t>Group is committed to reporting the allocation of net proceeds at least annually until they are fully allocated or if there is a change of allocati</w:t>
            </w:r>
            <w:r>
              <w:rPr>
                <w:rFonts w:ascii="Calibri" w:hAnsi="Calibri"/>
                <w:color w:val="0D381F"/>
              </w:rPr>
              <w:t>on during the outstanding period of the sustainable financing instruments (SFIs).</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772F2503" w14:textId="77777777" w:rsidR="004F74DE" w:rsidRDefault="009A50DC">
            <w:r>
              <w:rPr>
                <w:noProof/>
              </w:rPr>
              <w:lastRenderedPageBreak/>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Sustainability Finance Framework is credible and impactful and aligns with the four core components of the GBP2021 (with June 2022 Appendix I), SBP2023, SBG2021, GLP2023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trPr>
          <w:trHeight w:val="2744"/>
        </w:trPr>
        <w:tc>
          <w:tcPr>
            <w:tcW w:w="10514" w:type="dxa"/>
            <w:tcBorders>
              <w:top w:val="nil"/>
              <w:left w:val="nil"/>
              <w:bottom w:val="nil"/>
              <w:right w:val="nil"/>
            </w:tcBorders>
            <w:shd w:val="clear" w:color="auto" w:fill="F4F9EB"/>
            <w:vAlign w:val="center"/>
          </w:tcPr>
          <w:p w14:paraId="2F9DF846" w14:textId="77777777" w:rsidR="004F74DE" w:rsidRDefault="009A50DC">
            <w:pPr>
              <w:numPr>
                <w:ilvl w:val="0"/>
                <w:numId w:val="2"/>
              </w:numPr>
              <w:jc w:val="both"/>
            </w:pPr>
            <w:r>
              <w:rPr>
                <w:rFonts w:ascii="Calibri" w:hAnsi="Calibri" w:cs="Calibri"/>
                <w:color w:val="0D381F"/>
              </w:rPr>
              <w:t>CCXGFI has reviewed the Grou</w:t>
            </w:r>
            <w:r>
              <w:rPr>
                <w:rFonts w:ascii="Calibri" w:hAnsi="Calibri" w:cs="Calibri"/>
                <w:color w:val="0D381F"/>
              </w:rPr>
              <w:t>p’s Framework and evaluated the proposed use of proceeds.</w:t>
            </w:r>
          </w:p>
          <w:p w14:paraId="5A4A7350" w14:textId="77777777" w:rsidR="004F74DE" w:rsidRDefault="009A50DC">
            <w:pPr>
              <w:numPr>
                <w:ilvl w:val="0"/>
                <w:numId w:val="2"/>
              </w:numPr>
              <w:jc w:val="both"/>
            </w:pPr>
            <w:r>
              <w:rPr>
                <w:rFonts w:ascii="Calibri" w:hAnsi="Calibri" w:cs="Calibri"/>
                <w:color w:val="0D381F"/>
              </w:rPr>
              <w:t xml:space="preserve">The investments in eligible categories are anticipated to deliver significant social benefits while contributing to the achievement of several UN Sustainable Development Goals, specifically SDGs 6, </w:t>
            </w:r>
            <w:r>
              <w:rPr>
                <w:rFonts w:ascii="Calibri" w:hAnsi="Calibri" w:cs="Calibri"/>
                <w:color w:val="0D381F"/>
              </w:rPr>
              <w:t xml:space="preserve">12, 13, 9, 11 and 1. Additionally, the </w:t>
            </w:r>
            <w:r>
              <w:rPr>
                <w:rFonts w:ascii="Calibri" w:hAnsi="Calibri"/>
                <w:color w:val="FF0000"/>
              </w:rPr>
            </w:r>
            <w:r>
              <w:rPr>
                <w:rFonts w:ascii="Calibri" w:hAnsi="Calibri"/>
                <w:color w:val="0D381F"/>
              </w:rPr>
              <w:t>Group has identified a list of excluded project types based on the International Finance Corporation’s exclusion list.</w:t>
            </w:r>
          </w:p>
          <w:p w14:paraId="7536B4C0" w14:textId="77777777" w:rsidR="004F74DE" w:rsidRDefault="009A50DC">
            <w:pPr>
              <w:numPr>
                <w:ilvl w:val="0"/>
                <w:numId w:val="2"/>
              </w:numPr>
              <w:jc w:val="both"/>
            </w:pPr>
            <w:r>
              <w:rPr>
                <w:rFonts w:ascii="Calibri" w:hAnsi="Calibri" w:cs="Calibri"/>
                <w:color w:val="0D381F"/>
              </w:rPr>
              <w:t xml:space="preserve">CCXGFI is of the opinion that the use of proceeds is clearly defined and in good </w:t>
            </w:r>
            <w:r>
              <w:rPr>
                <w:rFonts w:ascii="Calibri" w:hAnsi="Calibri" w:cs="Calibri"/>
                <w:color w:val="0D381F"/>
              </w:rPr>
              <w:t>alignment with the relevant requirement of the GBP2021 (with June 2022 Appendix I), GLP2023, SBP2023, SLP2023 and SBG2021.</w:t>
            </w:r>
          </w:p>
        </w:tc>
      </w:tr>
    </w:tbl>
    <w:p w14:paraId="4EC13125" w14:textId="77777777" w:rsidR="004F74DE" w:rsidRDefault="009A50DC">
      <w:pPr>
        <w:spacing w:beforeLines="50" w:before="163" w:after="160"/>
        <w:jc w:val="both"/>
      </w:pPr>
      <w:r>
        <w:rPr>
          <w:rFonts w:ascii="Calibri" w:hAnsi="Calibri" w:cs="Calibri"/>
        </w:rPr>
        <w:t xml:space="preserve">The Framework sets out how the </w:t>
      </w:r>
      <w:r>
        <w:rPr>
          <w:rFonts w:ascii="Calibri" w:hAnsi="Calibri" w:cs="Calibri"/>
          <w:color w:val="FF0000"/>
        </w:rPr>
      </w:r>
      <w:r>
        <w:rPr>
          <w:rFonts w:ascii="Calibri" w:hAnsi="Calibri" w:cs="Calibri"/>
        </w:rPr>
        <w:t xml:space="preserve">Group intends to issue SFIs. The Group will exclusively allocate an amount at least </w:t>
      </w:r>
      <w:r>
        <w:rPr>
          <w:rFonts w:ascii="Calibri" w:hAnsi="Calibri"/>
        </w:rPr>
        <w:t>equivalent to the net proceeds of an SFT issued under this framework to finance or refinance, in whole or in part, new or existing projects which meet the eligibility criteria of the following eligible green and social projects categories, as defined in th</w:t>
      </w:r>
      <w:r>
        <w:rPr>
          <w:rFonts w:ascii="Calibri" w:hAnsi="Calibri"/>
        </w:rPr>
        <w:t>e Project Category table.</w:t>
      </w:r>
    </w:p>
    <w:p w14:paraId="64873AF8" w14:textId="77777777" w:rsidR="004F74DE" w:rsidRDefault="009A50DC">
      <w:pPr>
        <w:spacing w:beforeLines="50" w:before="163" w:after="160"/>
        <w:jc w:val="both"/>
      </w:pPr>
      <w:r>
        <w:rPr>
          <w:rFonts w:ascii="Calibri" w:hAnsi="Calibri" w:cs="Calibri"/>
        </w:rPr>
        <w:t xml:space="preserve">The proportion of financing and refinancing for the eligible green and social projects will be disclosed in the </w:t>
      </w:r>
      <w:r>
        <w:rPr>
          <w:rFonts w:ascii="Calibri" w:hAnsi="Calibri"/>
          <w:color w:val="FF0000"/>
        </w:rPr>
      </w:r>
      <w:r>
        <w:rPr>
          <w:rFonts w:ascii="Calibri" w:hAnsi="Calibri"/>
        </w:rPr>
        <w:t>Group’s allocation report.</w:t>
      </w:r>
    </w:p>
    <w:p w14:paraId="32EE36D4" w14:textId="77777777" w:rsidR="004F74DE" w:rsidRDefault="009A50DC">
      <w:pPr>
        <w:spacing w:beforeLines="50" w:before="163" w:after="160"/>
        <w:jc w:val="both"/>
      </w:pPr>
      <w:r>
        <w:rPr>
          <w:rFonts w:ascii="Calibri" w:hAnsi="Calibri" w:cs="Calibri"/>
        </w:rPr>
        <w:t>The following table summarizes the alignment of the Framework with the Principles’ requirem</w:t>
      </w:r>
      <w:r>
        <w:rPr>
          <w:rFonts w:ascii="Calibri" w:hAnsi="Calibri" w:cs="Calibri"/>
        </w:rPr>
        <w:t>ents, detailing the factual findings for each requirement and confirming their alignment.</w:t>
      </w:r>
    </w:p>
    <w:tbl>
      <w:tblPr>
        <w:tblW w:w="10440" w:type="dxa"/>
        <w:tblLook w:val="04A0" w:firstRow="1" w:lastRow="0" w:firstColumn="1" w:lastColumn="0" w:noHBand="0" w:noVBand="1"/>
      </w:tblPr>
      <w:tblGrid>
        <w:gridCol w:w="4711"/>
        <w:gridCol w:w="4345"/>
        <w:gridCol w:w="1384"/>
      </w:tblGrid>
      <w:tr w:rsidR="004F74DE" w14:paraId="7AB8B2CE" w14:textId="77777777">
        <w:tc>
          <w:tcPr>
            <w:tcW w:w="4000" w:type="dxa"/>
            <w:shd w:val="clear" w:color="auto" w:fill="316729"/>
            <w:vAlign w:val="center"/>
          </w:tcPr>
          <w:p w14:paraId="77BA2AB8" w14:textId="77777777" w:rsidR="004F74DE" w:rsidRDefault="009A50DC">
            <w:r>
              <w:rPr>
                <w:rFonts w:ascii="Calibri" w:hAnsi="Calibri" w:cs="Calibri"/>
                <w:b/>
                <w:color w:val="FFFFFF"/>
              </w:rPr>
              <w:t>Principles Requirement</w:t>
            </w:r>
          </w:p>
        </w:tc>
        <w:tc>
          <w:tcPr>
            <w:tcW w:w="4000" w:type="dxa"/>
            <w:shd w:val="clear" w:color="auto" w:fill="316729"/>
            <w:vAlign w:val="center"/>
          </w:tcPr>
          <w:p w14:paraId="3C05CE87" w14:textId="77777777" w:rsidR="004F74DE" w:rsidRDefault="009A50DC">
            <w:r>
              <w:rPr>
                <w:rFonts w:ascii="Calibri" w:hAnsi="Calibri" w:cs="Calibri"/>
                <w:b/>
                <w:color w:val="FFFFFF"/>
              </w:rPr>
              <w:t>Factual Finding</w:t>
            </w:r>
          </w:p>
        </w:tc>
        <w:tc>
          <w:tcPr>
            <w:tcW w:w="2440" w:type="dxa"/>
            <w:shd w:val="clear" w:color="auto" w:fill="316729"/>
            <w:vAlign w:val="center"/>
          </w:tcPr>
          <w:p w14:paraId="45D0EA48" w14:textId="77777777" w:rsidR="004F74DE" w:rsidRDefault="009A50DC">
            <w:r>
              <w:rPr>
                <w:rFonts w:ascii="Calibri" w:hAnsi="Calibri" w:cs="Calibri"/>
                <w:b/>
                <w:color w:val="FFFFFF"/>
              </w:rPr>
              <w:t>Alignment</w:t>
            </w:r>
          </w:p>
        </w:tc>
      </w:tr>
      <w:tr w:rsidR="004F74DE" w14:paraId="1EF3B2E0" w14:textId="77777777">
        <w:tc>
          <w:tcPr>
            <w:tcW w:w="0" w:type="auto"/>
            <w:tcBorders>
              <w:bottom w:val="dotted" w:sz="3" w:space="0" w:color="275317"/>
            </w:tcBorders>
            <w:shd w:val="clear" w:color="auto" w:fill="F4F9EB"/>
            <w:vAlign w:val="center"/>
          </w:tcPr>
          <w:p w14:paraId="1AB08332" w14:textId="77777777" w:rsidR="004F74DE" w:rsidRDefault="009A50DC">
            <w:pPr>
              <w:jc w:val="both"/>
            </w:pPr>
            <w:r>
              <w:rPr>
                <w:rFonts w:ascii="Calibri" w:hAnsi="Calibri" w:cs="Calibri"/>
                <w:color w:val="0D381F"/>
                <w:shd w:val="clear" w:color="auto" w:fill="F4F9EB"/>
              </w:rPr>
              <w:t>All designated eligible green/social projects should provide clear environmental or social benefits, which should be</w:t>
            </w:r>
            <w:r>
              <w:rPr>
                <w:rFonts w:ascii="Calibri" w:hAnsi="Calibri" w:cs="Calibri"/>
                <w:color w:val="0D381F"/>
                <w:shd w:val="clear" w:color="auto" w:fill="F4F9EB"/>
              </w:rPr>
              <w:t xml:space="preserve"> assessed and quantified when possible.</w:t>
            </w:r>
          </w:p>
        </w:tc>
        <w:tc>
          <w:tcPr>
            <w:tcW w:w="0" w:type="auto"/>
            <w:tcBorders>
              <w:bottom w:val="dotted" w:sz="3" w:space="0" w:color="275317"/>
            </w:tcBorders>
            <w:shd w:val="clear" w:color="auto" w:fill="F4F9EB"/>
            <w:vAlign w:val="center"/>
          </w:tcPr>
          <w:p w14:paraId="00A5E079" w14:textId="77777777" w:rsidR="004F74DE" w:rsidRDefault="009A50DC">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76A1241F" w14:textId="77777777" w:rsidR="004F74DE" w:rsidRDefault="009A50DC">
            <w:pPr>
              <w:jc w:val="center"/>
            </w:pPr>
            <w:r>
              <w:rPr>
                <w:rFonts w:ascii="Wingdings" w:hAnsi="Wingdings" w:cs="Wingdings"/>
                <w:color w:val="4EA72E"/>
                <w:sz w:val="36"/>
                <w:szCs w:val="36"/>
                <w:shd w:val="clear" w:color="auto" w:fill="F4F9EB"/>
              </w:rPr>
              <w:t>ü</w:t>
            </w:r>
          </w:p>
        </w:tc>
      </w:tr>
      <w:tr w:rsidR="004F74DE" w14:paraId="3F3820CF" w14:textId="77777777">
        <w:tc>
          <w:tcPr>
            <w:tcW w:w="0" w:type="auto"/>
            <w:tcBorders>
              <w:bottom w:val="dotted" w:sz="3" w:space="0" w:color="275317"/>
            </w:tcBorders>
            <w:shd w:val="clear" w:color="auto" w:fill="F4F9EB"/>
            <w:vAlign w:val="center"/>
          </w:tcPr>
          <w:p w14:paraId="0621F2E7" w14:textId="77777777" w:rsidR="004F74DE" w:rsidRDefault="009A50DC">
            <w:pPr>
              <w:jc w:val="both"/>
            </w:pPr>
            <w:r>
              <w:rPr>
                <w:rFonts w:ascii="Calibri" w:hAnsi="Calibri" w:cs="Calibri"/>
                <w:color w:val="0D381F"/>
                <w:shd w:val="clear" w:color="auto" w:fill="F4F9EB"/>
              </w:rPr>
              <w:t xml:space="preserve">If proceeds are used for refinancing, it is recommended that issuers/borrowers provide an </w:t>
            </w:r>
            <w:r>
              <w:rPr>
                <w:rFonts w:ascii="Calibri" w:hAnsi="Calibri" w:cs="Calibri"/>
                <w:color w:val="0D381F"/>
                <w:shd w:val="clear" w:color="auto" w:fill="F4F9EB"/>
              </w:rPr>
              <w:t>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5F702BE2" w14:textId="77777777" w:rsidR="004F74DE" w:rsidRDefault="009A50DC">
            <w:pPr>
              <w:jc w:val="both"/>
            </w:pPr>
            <w:r>
              <w:rPr>
                <w:rFonts w:ascii="Calibri" w:hAnsi="Calibri" w:cs="Calibri"/>
                <w:color w:val="0D381F"/>
                <w:shd w:val="clear" w:color="auto" w:fill="F4F9EB"/>
              </w:rPr>
              <w:t>The net use of proceeds will exclusively finance and/or refinance, in part or in full, projects under the listed categories, and t</w:t>
            </w:r>
            <w:r>
              <w:rPr>
                <w:rFonts w:ascii="Calibri" w:hAnsi="Calibri" w:cs="Calibri"/>
                <w:color w:val="0D381F"/>
                <w:shd w:val="clear" w:color="auto" w:fill="F4F9EB"/>
              </w:rPr>
              <w:t xml:space="preserve">he </w:t>
            </w:r>
            <w:r>
              <w:rPr>
                <w:rFonts w:ascii="Calibri" w:hAnsi="Calibri"/>
                <w:color w:val="FF0000"/>
              </w:rPr>
            </w:r>
            <w:r>
              <w:rPr>
                <w:rFonts w:ascii="Calibri" w:hAnsi="Calibri"/>
                <w:color w:val="0D381F"/>
              </w:rPr>
              <w:t>Group will provide an estimate of the share of financing vs. re-financing.</w:t>
            </w:r>
          </w:p>
        </w:tc>
        <w:tc>
          <w:tcPr>
            <w:tcW w:w="0" w:type="auto"/>
            <w:tcBorders>
              <w:bottom w:val="dotted" w:sz="3" w:space="0" w:color="275317"/>
            </w:tcBorders>
            <w:shd w:val="clear" w:color="auto" w:fill="F4F9EB"/>
            <w:vAlign w:val="center"/>
          </w:tcPr>
          <w:p w14:paraId="6D505E22" w14:textId="77777777" w:rsidR="004F74DE" w:rsidRDefault="009A50DC">
            <w:pPr>
              <w:jc w:val="center"/>
            </w:pPr>
            <w:r>
              <w:rPr>
                <w:rFonts w:ascii="Wingdings" w:hAnsi="Wingdings" w:cs="Wingdings"/>
                <w:color w:val="4EA72E"/>
                <w:sz w:val="36"/>
                <w:szCs w:val="36"/>
                <w:shd w:val="clear" w:color="auto" w:fill="F4F9EB"/>
              </w:rPr>
              <w:t>ü</w:t>
            </w:r>
          </w:p>
        </w:tc>
      </w:tr>
      <w:tr w:rsidR="004F74DE" w14:paraId="0655259F" w14:textId="77777777">
        <w:tc>
          <w:tcPr>
            <w:tcW w:w="0" w:type="auto"/>
            <w:tcBorders>
              <w:bottom w:val="dotted" w:sz="3" w:space="0" w:color="275317"/>
            </w:tcBorders>
            <w:shd w:val="clear" w:color="auto" w:fill="F4F9EB"/>
            <w:vAlign w:val="center"/>
          </w:tcPr>
          <w:p w14:paraId="674F72BF" w14:textId="77777777" w:rsidR="004F74DE" w:rsidRDefault="009A50DC">
            <w:pPr>
              <w:jc w:val="both"/>
            </w:pPr>
            <w:r>
              <w:rPr>
                <w:rFonts w:ascii="Calibri" w:hAnsi="Calibri" w:cs="Calibri"/>
                <w:color w:val="0D381F"/>
                <w:shd w:val="clear" w:color="auto" w:fill="F4F9EB"/>
              </w:rPr>
              <w:t xml:space="preserve">Green Projects should contribute to environmental objectives recognised by </w:t>
            </w:r>
            <w:r>
              <w:rPr>
                <w:rFonts w:ascii="Calibri" w:hAnsi="Calibri" w:cs="Calibri"/>
                <w:color w:val="0D381F"/>
                <w:shd w:val="clear" w:color="auto" w:fill="F4F9EB"/>
              </w:rPr>
              <w:lastRenderedPageBreak/>
              <w:t>GBP/GLP, and Social Projects should address or mitigate social issues and/or seek to achieve positiv</w:t>
            </w:r>
            <w:r>
              <w:rPr>
                <w:rFonts w:ascii="Calibri" w:hAnsi="Calibri" w:cs="Calibri"/>
                <w:color w:val="0D381F"/>
                <w:shd w:val="clear" w:color="auto" w:fill="F4F9EB"/>
              </w:rPr>
              <w:t>e outcomes including for, but not limited to, a target population(s) recognised by SBP/SLP.</w:t>
            </w:r>
          </w:p>
        </w:tc>
        <w:tc>
          <w:tcPr>
            <w:tcW w:w="0" w:type="auto"/>
            <w:tcBorders>
              <w:bottom w:val="dotted" w:sz="3" w:space="0" w:color="275317"/>
            </w:tcBorders>
            <w:shd w:val="clear" w:color="auto" w:fill="F4F9EB"/>
            <w:vAlign w:val="center"/>
          </w:tcPr>
          <w:p w14:paraId="6DF20983" w14:textId="77777777" w:rsidR="004F74DE" w:rsidRDefault="009A50DC">
            <w:pPr>
              <w:jc w:val="both"/>
            </w:pPr>
            <w:r>
              <w:rPr>
                <w:rFonts w:ascii="Calibri" w:hAnsi="Calibri" w:cs="Calibri"/>
                <w:color w:val="0D381F"/>
                <w:shd w:val="clear" w:color="auto" w:fill="F4F9EB"/>
              </w:rPr>
              <w:lastRenderedPageBreak/>
              <w:t xml:space="preserve">The eligible green projects listed in the Framework all contribute to </w:t>
            </w:r>
            <w:r>
              <w:rPr>
                <w:rFonts w:ascii="Calibri" w:hAnsi="Calibri" w:cs="Calibri"/>
                <w:color w:val="0D381F"/>
                <w:shd w:val="clear" w:color="auto" w:fill="F4F9EB"/>
              </w:rPr>
              <w:lastRenderedPageBreak/>
              <w:t xml:space="preserve">environmental objectives in GBP/GLP; the eligible social projects listed in the Framework all </w:t>
            </w:r>
            <w:r>
              <w:rPr>
                <w:rFonts w:ascii="Calibri" w:hAnsi="Calibri" w:cs="Calibri"/>
                <w:color w:val="0D381F"/>
                <w:shd w:val="clear" w:color="auto" w:fill="F4F9EB"/>
              </w:rPr>
              <w:t>contribute to address or mitigate a specific social issue and seek to achieve positive social outcomes.</w:t>
            </w:r>
          </w:p>
        </w:tc>
        <w:tc>
          <w:tcPr>
            <w:tcW w:w="0" w:type="auto"/>
            <w:tcBorders>
              <w:bottom w:val="dotted" w:sz="3" w:space="0" w:color="275317"/>
            </w:tcBorders>
            <w:shd w:val="clear" w:color="auto" w:fill="F4F9EB"/>
            <w:vAlign w:val="center"/>
          </w:tcPr>
          <w:p w14:paraId="7963D7A7" w14:textId="77777777" w:rsidR="004F74DE" w:rsidRDefault="009A50DC">
            <w:pPr>
              <w:jc w:val="center"/>
            </w:pPr>
            <w:r>
              <w:rPr>
                <w:rFonts w:ascii="Wingdings" w:hAnsi="Wingdings" w:cs="Wingdings"/>
                <w:color w:val="4EA72E"/>
                <w:sz w:val="36"/>
                <w:szCs w:val="36"/>
                <w:shd w:val="clear" w:color="auto" w:fill="F4F9EB"/>
              </w:rPr>
              <w:lastRenderedPageBreak/>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891"/>
        <w:gridCol w:w="5024"/>
        <w:gridCol w:w="1931"/>
        <w:gridCol w:w="1594"/>
      </w:tblGrid>
      <w:tr w:rsidR="004F74DE" w14:paraId="0E37FD26" w14:textId="77777777">
        <w:tc>
          <w:tcPr>
            <w:tcW w:w="2000" w:type="dxa"/>
            <w:shd w:val="clear" w:color="auto" w:fill="316729"/>
            <w:vAlign w:val="center"/>
          </w:tcPr>
          <w:p w14:paraId="0B90F34C" w14:textId="77777777" w:rsidR="004F74DE" w:rsidRDefault="009A50DC">
            <w:pPr>
              <w:jc w:val="center"/>
            </w:pPr>
            <w:r>
              <w:rPr>
                <w:rFonts w:ascii="Calibri" w:hAnsi="Calibri" w:cs="Calibri"/>
                <w:b/>
                <w:color w:val="FFFFFF"/>
              </w:rPr>
              <w:t>Green Project Category</w:t>
            </w:r>
          </w:p>
        </w:tc>
        <w:tc>
          <w:tcPr>
            <w:tcW w:w="6000" w:type="dxa"/>
            <w:shd w:val="clear" w:color="auto" w:fill="316729"/>
            <w:vAlign w:val="center"/>
          </w:tcPr>
          <w:p w14:paraId="52D2565E" w14:textId="77777777" w:rsidR="004F74DE" w:rsidRDefault="009A50DC">
            <w:pPr>
              <w:jc w:val="center"/>
            </w:pPr>
            <w:r>
              <w:rPr>
                <w:rFonts w:ascii="Calibri" w:hAnsi="Calibri" w:cs="Calibri"/>
                <w:b/>
                <w:color w:val="FFFFFF"/>
              </w:rPr>
              <w:t>Eligible Projects Technical Screening Criteria</w:t>
            </w:r>
          </w:p>
        </w:tc>
        <w:tc>
          <w:tcPr>
            <w:tcW w:w="2000" w:type="dxa"/>
            <w:shd w:val="clear" w:color="auto" w:fill="316729"/>
            <w:vAlign w:val="center"/>
          </w:tcPr>
          <w:p w14:paraId="6A4830FB" w14:textId="77777777" w:rsidR="004F74DE" w:rsidRDefault="009A50DC">
            <w:pPr>
              <w:jc w:val="center"/>
            </w:pPr>
            <w:r>
              <w:rPr>
                <w:rFonts w:ascii="Calibri" w:hAnsi="Calibri" w:cs="Calibri"/>
                <w:b/>
                <w:color w:val="FFFFFF"/>
              </w:rPr>
              <w:t>Identified Objective</w:t>
            </w:r>
          </w:p>
        </w:tc>
        <w:tc>
          <w:tcPr>
            <w:tcW w:w="1488" w:type="dxa"/>
            <w:shd w:val="clear" w:color="auto" w:fill="316729"/>
            <w:vAlign w:val="center"/>
          </w:tcPr>
          <w:p w14:paraId="6E8C0F68" w14:textId="77777777" w:rsidR="004F74DE" w:rsidRDefault="009A50DC">
            <w:pPr>
              <w:jc w:val="center"/>
            </w:pPr>
            <w:r>
              <w:rPr>
                <w:rFonts w:ascii="Calibri" w:hAnsi="Calibri" w:cs="Calibri"/>
                <w:b/>
                <w:color w:val="FFFFFF"/>
              </w:rPr>
              <w:t>Alignment</w:t>
            </w:r>
          </w:p>
        </w:tc>
      </w:tr>
      <w:tr w:rsidR="004F74DE" w14:paraId="5DDC95EF" w14:textId="77777777">
        <w:tc>
          <w:tcPr>
            <w:tcW w:w="2000" w:type="dxa"/>
            <w:tcBorders>
              <w:bottom w:val="dotted" w:sz="3" w:space="0" w:color="275317"/>
            </w:tcBorders>
            <w:shd w:val="clear" w:color="auto" w:fill="F4F9EB"/>
            <w:vAlign w:val="center"/>
          </w:tcPr>
          <w:p w14:paraId="14F751BB" w14:textId="77777777" w:rsidR="004F74DE" w:rsidRDefault="009A50DC">
            <w:pPr>
              <w:jc w:val="center"/>
            </w:pPr>
            <w:r>
              <w:rPr>
                <w:rFonts w:ascii="Calibri" w:hAnsi="Calibri" w:cs="Calibri"/>
                <w:b/>
                <w:color w:val="0D381F"/>
              </w:rPr>
              <w:t>Sustainable Water and Wastewater Management</w:t>
            </w:r>
          </w:p>
          <w:p w14:paraId="6F072BE0" w14:textId="77777777" w:rsidR="004F74DE" w:rsidRDefault="004F74DE">
            <w:pPr>
              <w:jc w:val="center"/>
            </w:pPr>
          </w:p>
          <w:p w14:paraId="012B3261" w14:textId="77777777" w:rsidR="004F74DE" w:rsidRDefault="009A50DC">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1386C68" w14:textId="77777777" w:rsidR="004F74DE" w:rsidRDefault="009A50DC">
            <w:pPr>
              <w:numPr>
                <w:ilvl w:val="0"/>
                <w:numId w:val="2"/>
              </w:numPr>
              <w:ind w:left="240" w:hanging="300"/>
            </w:pPr>
            <w:r>
              <w:rPr>
                <w:rFonts w:ascii="Calibri" w:hAnsi="Calibri" w:cs="Calibri"/>
                <w:color w:val="0D381F"/>
                <w:shd w:val="clear" w:color="auto" w:fill="F4F9EB"/>
              </w:rPr>
              <w:t>Construction and maintenance of sustainable urban drainage systems, urban water supply pipeline network, river training, and other forms of flooding mitigation:</w:t>
            </w:r>
          </w:p>
          <w:p w14:paraId="1CA3C254" w14:textId="77777777" w:rsidR="004F74DE" w:rsidRDefault="009A50DC">
            <w:pPr>
              <w:numPr>
                <w:ilvl w:val="0"/>
                <w:numId w:val="3"/>
              </w:numPr>
              <w:ind w:left="520" w:hanging="300"/>
            </w:pPr>
            <w:r>
              <w:rPr>
                <w:rFonts w:ascii="Calibri" w:hAnsi="Calibri" w:cs="Calibri"/>
                <w:color w:val="0D381F"/>
                <w:shd w:val="clear" w:color="auto" w:fill="F4F9EB"/>
              </w:rPr>
              <w:t>Examples would include but not limited to urban drainage systems, urban public water supply fac</w:t>
            </w:r>
            <w:r>
              <w:rPr>
                <w:rFonts w:ascii="Calibri" w:hAnsi="Calibri" w:cs="Calibri"/>
                <w:color w:val="0D381F"/>
                <w:shd w:val="clear" w:color="auto" w:fill="F4F9EB"/>
              </w:rPr>
              <w:t>ilities</w:t>
            </w:r>
          </w:p>
        </w:tc>
        <w:tc>
          <w:tcPr>
            <w:tcW w:w="2000" w:type="dxa"/>
            <w:tcBorders>
              <w:bottom w:val="dotted" w:sz="3" w:space="0" w:color="275317"/>
            </w:tcBorders>
            <w:shd w:val="clear" w:color="auto" w:fill="F4F9EB"/>
            <w:vAlign w:val="center"/>
          </w:tcPr>
          <w:p w14:paraId="5162C8C9" w14:textId="77777777" w:rsidR="004F74DE" w:rsidRDefault="009A50DC">
            <w:pPr>
              <w:numPr>
                <w:ilvl w:val="0"/>
                <w:numId w:val="2"/>
              </w:numPr>
              <w:ind w:left="240" w:hanging="300"/>
            </w:pPr>
            <w:r>
              <w:rPr>
                <w:rFonts w:ascii="Calibri" w:hAnsi="Calibri" w:cs="Calibri"/>
                <w:color w:val="0D381F"/>
                <w:shd w:val="clear" w:color="auto" w:fill="F4F9EB"/>
              </w:rPr>
              <w:t>Pollution prevention and control</w:t>
            </w:r>
          </w:p>
          <w:p w14:paraId="55BDB0AB" w14:textId="77777777" w:rsidR="004F74DE" w:rsidRDefault="009A50DC">
            <w:pPr>
              <w:numPr>
                <w:ilvl w:val="0"/>
                <w:numId w:val="2"/>
              </w:numPr>
              <w:ind w:left="240" w:hanging="300"/>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692F6E4E" w14:textId="77777777" w:rsidR="004F74DE" w:rsidRDefault="009A50DC">
            <w:pPr>
              <w:numPr>
                <w:ilvl w:val="0"/>
                <w:numId w:val="2"/>
              </w:numPr>
              <w:ind w:left="240" w:hanging="300"/>
            </w:pPr>
            <w:r>
              <w:rPr>
                <w:rFonts w:ascii="Calibri" w:hAnsi="Calibri" w:cs="Calibri"/>
                <w:color w:val="0D381F"/>
                <w:shd w:val="clear" w:color="auto" w:fill="F4F9EB"/>
              </w:rPr>
              <w:t>GBP2021</w:t>
            </w:r>
          </w:p>
          <w:p w14:paraId="5BA78C89" w14:textId="77777777" w:rsidR="004F74DE" w:rsidRDefault="009A50DC">
            <w:pPr>
              <w:numPr>
                <w:ilvl w:val="0"/>
                <w:numId w:val="2"/>
              </w:numPr>
              <w:ind w:left="240" w:hanging="300"/>
            </w:pPr>
            <w:r>
              <w:rPr>
                <w:rFonts w:ascii="Calibri" w:hAnsi="Calibri" w:cs="Calibri"/>
                <w:color w:val="0D381F"/>
                <w:shd w:val="clear" w:color="auto" w:fill="F4F9EB"/>
              </w:rPr>
              <w:t>GLP2023</w:t>
            </w:r>
          </w:p>
          <w:p w14:paraId="45C75AAE" w14:textId="77777777" w:rsidR="004F74DE" w:rsidRDefault="009A50DC">
            <w:pPr>
              <w:numPr>
                <w:ilvl w:val="0"/>
                <w:numId w:val="2"/>
              </w:numPr>
              <w:ind w:left="240" w:hanging="300"/>
            </w:pPr>
            <w:r>
              <w:rPr>
                <w:rFonts w:ascii="Calibri" w:hAnsi="Calibri" w:cs="Calibri"/>
                <w:color w:val="0D381F"/>
                <w:shd w:val="clear" w:color="auto" w:fill="F4F9EB"/>
              </w:rPr>
              <w:t>GBEPC2021 – 5.4.2.4</w:t>
            </w:r>
          </w:p>
          <w:p w14:paraId="0BEEA92B" w14:textId="77777777" w:rsidR="004F74DE" w:rsidRDefault="009A50DC">
            <w:pPr>
              <w:numPr>
                <w:ilvl w:val="0"/>
                <w:numId w:val="2"/>
              </w:numPr>
              <w:ind w:left="240" w:hanging="300"/>
            </w:pPr>
            <w:r>
              <w:rPr>
                <w:rFonts w:ascii="Calibri" w:hAnsi="Calibri" w:cs="Calibri"/>
                <w:color w:val="0D381F"/>
                <w:shd w:val="clear" w:color="auto" w:fill="F4F9EB"/>
              </w:rPr>
              <w:t>GBEPC2021 – 5.4.2.5</w:t>
            </w:r>
          </w:p>
        </w:tc>
      </w:tr>
      <w:tr w:rsidR="004F74DE" w14:paraId="509EF6EA" w14:textId="77777777">
        <w:tc>
          <w:tcPr>
            <w:tcW w:w="2000" w:type="dxa"/>
            <w:shd w:val="clear" w:color="auto" w:fill="F4F9EB"/>
            <w:vAlign w:val="center"/>
          </w:tcPr>
          <w:p w14:paraId="7270DE51" w14:textId="77777777" w:rsidR="004F74DE" w:rsidRDefault="009A50DC">
            <w:pPr>
              <w:jc w:val="center"/>
            </w:pPr>
            <w:r>
              <w:rPr>
                <w:rFonts w:ascii="Calibri" w:hAnsi="Calibri" w:cs="Calibri"/>
                <w:b/>
                <w:color w:val="0D381F"/>
              </w:rPr>
              <w:t>Green Building</w:t>
            </w:r>
          </w:p>
          <w:p w14:paraId="6F0DCA3A" w14:textId="77777777" w:rsidR="004F74DE" w:rsidRDefault="004F74DE">
            <w:pPr>
              <w:jc w:val="center"/>
            </w:pPr>
          </w:p>
          <w:p w14:paraId="7F13F632" w14:textId="77777777" w:rsidR="004F74DE" w:rsidRDefault="009A50DC">
            <w:pPr>
              <w:jc w:val="center"/>
            </w:pP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3BD8E85B" w14:textId="77777777" w:rsidR="004F74DE" w:rsidRDefault="009A50DC">
            <w:pPr>
              <w:numPr>
                <w:ilvl w:val="0"/>
                <w:numId w:val="2"/>
              </w:numPr>
              <w:ind w:left="240" w:hanging="300"/>
            </w:pPr>
            <w:r>
              <w:rPr>
                <w:rFonts w:ascii="Calibri" w:hAnsi="Calibri" w:cs="Calibri"/>
                <w:color w:val="0D381F"/>
                <w:shd w:val="clear" w:color="auto" w:fill="F4F9EB"/>
              </w:rPr>
              <w:t xml:space="preserve">Acquisition, construction, maintenance and renovation of building that meet regional, national green </w:t>
            </w:r>
            <w:r>
              <w:rPr>
                <w:rFonts w:ascii="Calibri" w:hAnsi="Calibri" w:cs="Calibri"/>
                <w:color w:val="0D381F"/>
                <w:shd w:val="clear" w:color="auto" w:fill="F4F9EB"/>
              </w:rPr>
              <w:t>building codes or internationally recognised green building standards or certifications for environmental performance</w:t>
            </w:r>
          </w:p>
        </w:tc>
        <w:tc>
          <w:tcPr>
            <w:tcW w:w="2000" w:type="dxa"/>
            <w:shd w:val="clear" w:color="auto" w:fill="F4F9EB"/>
            <w:vAlign w:val="center"/>
          </w:tcPr>
          <w:p w14:paraId="0B56BF35" w14:textId="77777777" w:rsidR="004F74DE" w:rsidRDefault="009A50DC">
            <w:pPr>
              <w:numPr>
                <w:ilvl w:val="0"/>
                <w:numId w:val="2"/>
              </w:numPr>
              <w:ind w:left="240" w:hanging="300"/>
            </w:pPr>
            <w:r>
              <w:rPr>
                <w:rFonts w:ascii="Calibri" w:hAnsi="Calibri" w:cs="Calibri"/>
                <w:color w:val="0D381F"/>
                <w:shd w:val="clear" w:color="auto" w:fill="F4F9EB"/>
              </w:rPr>
              <w:t>Climate change mitigation</w:t>
            </w:r>
          </w:p>
        </w:tc>
        <w:tc>
          <w:tcPr>
            <w:tcW w:w="1488" w:type="dxa"/>
            <w:shd w:val="clear" w:color="auto" w:fill="F4F9EB"/>
            <w:vAlign w:val="center"/>
          </w:tcPr>
          <w:p w14:paraId="19F2070F" w14:textId="77777777" w:rsidR="004F74DE" w:rsidRDefault="009A50DC">
            <w:pPr>
              <w:numPr>
                <w:ilvl w:val="0"/>
                <w:numId w:val="2"/>
              </w:numPr>
              <w:ind w:left="240" w:hanging="300"/>
            </w:pPr>
            <w:r>
              <w:rPr>
                <w:rFonts w:ascii="Calibri" w:hAnsi="Calibri" w:cs="Calibri"/>
                <w:color w:val="0D381F"/>
                <w:shd w:val="clear" w:color="auto" w:fill="F4F9EB"/>
              </w:rPr>
              <w:t>GBP2021</w:t>
            </w:r>
          </w:p>
          <w:p w14:paraId="750583C4" w14:textId="77777777" w:rsidR="004F74DE" w:rsidRDefault="009A50DC">
            <w:pPr>
              <w:numPr>
                <w:ilvl w:val="0"/>
                <w:numId w:val="2"/>
              </w:numPr>
              <w:ind w:left="240" w:hanging="300"/>
            </w:pPr>
            <w:r>
              <w:rPr>
                <w:rFonts w:ascii="Calibri" w:hAnsi="Calibri" w:cs="Calibri"/>
                <w:color w:val="0D381F"/>
                <w:shd w:val="clear" w:color="auto" w:fill="F4F9EB"/>
              </w:rPr>
              <w:t>GLP2023</w:t>
            </w:r>
          </w:p>
          <w:p w14:paraId="6F9CF4AE" w14:textId="77777777" w:rsidR="004F74DE" w:rsidRDefault="009A50DC">
            <w:pPr>
              <w:numPr>
                <w:ilvl w:val="0"/>
                <w:numId w:val="2"/>
              </w:numPr>
              <w:ind w:left="240" w:hanging="300"/>
            </w:pPr>
            <w:r>
              <w:rPr>
                <w:rFonts w:ascii="Calibri" w:hAnsi="Calibri" w:cs="Calibri"/>
                <w:color w:val="0D381F"/>
                <w:shd w:val="clear" w:color="auto" w:fill="F4F9EB"/>
              </w:rPr>
              <w:t>GBEPC2021 – 5.2.1.4</w:t>
            </w:r>
          </w:p>
          <w:p w14:paraId="7363A86D" w14:textId="77777777" w:rsidR="004F74DE" w:rsidRDefault="009A50DC">
            <w:pPr>
              <w:numPr>
                <w:ilvl w:val="0"/>
                <w:numId w:val="2"/>
              </w:numPr>
              <w:ind w:left="240" w:hanging="300"/>
            </w:pPr>
            <w:r>
              <w:rPr>
                <w:rFonts w:ascii="Calibri" w:hAnsi="Calibri" w:cs="Calibri"/>
                <w:color w:val="0D381F"/>
                <w:shd w:val="clear" w:color="auto" w:fill="F4F9EB"/>
              </w:rPr>
              <w:t>GBEPC2021 – 5.2.1.5</w:t>
            </w:r>
          </w:p>
          <w:p w14:paraId="5141491E" w14:textId="77777777" w:rsidR="004F74DE" w:rsidRDefault="009A50DC">
            <w:pPr>
              <w:numPr>
                <w:ilvl w:val="0"/>
                <w:numId w:val="2"/>
              </w:numPr>
              <w:ind w:left="240" w:hanging="300"/>
            </w:pPr>
            <w:r>
              <w:rPr>
                <w:rFonts w:ascii="Calibri" w:hAnsi="Calibri" w:cs="Calibri"/>
                <w:color w:val="0D381F"/>
                <w:shd w:val="clear" w:color="auto" w:fill="F4F9EB"/>
              </w:rPr>
              <w:t>GBEPC2021 – 5.2.1.6</w:t>
            </w:r>
          </w:p>
        </w:tc>
      </w:tr>
      <w:tr w:rsidR="004F74DE" w14:paraId="533A436E" w14:textId="77777777">
        <w:tc>
          <w:tcPr>
            <w:tcW w:w="2000" w:type="dxa"/>
            <w:shd w:val="clear" w:color="auto" w:fill="316729"/>
            <w:vAlign w:val="center"/>
          </w:tcPr>
          <w:p w14:paraId="7D7341E0" w14:textId="77777777" w:rsidR="004F74DE" w:rsidRDefault="009A50DC">
            <w:pPr>
              <w:jc w:val="center"/>
            </w:pPr>
            <w:r>
              <w:rPr>
                <w:rFonts w:ascii="Calibri" w:hAnsi="Calibri" w:cs="Calibri"/>
                <w:b/>
                <w:color w:val="FFFFFF"/>
              </w:rPr>
              <w:t>Social Project Category</w:t>
            </w:r>
          </w:p>
        </w:tc>
        <w:tc>
          <w:tcPr>
            <w:tcW w:w="6000" w:type="dxa"/>
            <w:shd w:val="clear" w:color="auto" w:fill="316729"/>
            <w:vAlign w:val="center"/>
          </w:tcPr>
          <w:p w14:paraId="49B32A88" w14:textId="77777777" w:rsidR="004F74DE" w:rsidRDefault="009A50DC">
            <w:pPr>
              <w:jc w:val="center"/>
            </w:pPr>
            <w:r>
              <w:rPr>
                <w:rFonts w:ascii="Calibri" w:hAnsi="Calibri" w:cs="Calibri"/>
                <w:b/>
                <w:color w:val="FFFFFF"/>
              </w:rPr>
              <w:t>Eligible Projects Technical Screening Criteria</w:t>
            </w:r>
          </w:p>
        </w:tc>
        <w:tc>
          <w:tcPr>
            <w:tcW w:w="2000" w:type="dxa"/>
            <w:shd w:val="clear" w:color="auto" w:fill="316729"/>
            <w:vAlign w:val="center"/>
          </w:tcPr>
          <w:p w14:paraId="79737C7E" w14:textId="77777777" w:rsidR="004F74DE" w:rsidRDefault="009A50DC">
            <w:pPr>
              <w:jc w:val="center"/>
            </w:pPr>
            <w:r>
              <w:rPr>
                <w:rFonts w:ascii="Calibri" w:hAnsi="Calibri" w:cs="Calibri"/>
                <w:b/>
                <w:color w:val="FFFFFF"/>
              </w:rPr>
              <w:t>Identified Objective</w:t>
            </w:r>
          </w:p>
        </w:tc>
        <w:tc>
          <w:tcPr>
            <w:tcW w:w="1488" w:type="dxa"/>
            <w:shd w:val="clear" w:color="auto" w:fill="316729"/>
            <w:vAlign w:val="center"/>
          </w:tcPr>
          <w:p w14:paraId="5E7BECDA" w14:textId="77777777" w:rsidR="004F74DE" w:rsidRDefault="009A50DC">
            <w:pPr>
              <w:jc w:val="center"/>
            </w:pPr>
            <w:r>
              <w:rPr>
                <w:rFonts w:ascii="Calibri" w:hAnsi="Calibri" w:cs="Calibri"/>
                <w:b/>
                <w:color w:val="FFFFFF"/>
              </w:rPr>
              <w:t>Alignment</w:t>
            </w:r>
          </w:p>
        </w:tc>
      </w:tr>
      <w:tr w:rsidR="004F74DE" w14:paraId="775CB989" w14:textId="77777777">
        <w:tc>
          <w:tcPr>
            <w:tcW w:w="2000" w:type="dxa"/>
            <w:shd w:val="clear" w:color="auto" w:fill="F4F9EB"/>
            <w:vAlign w:val="center"/>
          </w:tcPr>
          <w:p w14:paraId="7D39C3CD" w14:textId="77777777" w:rsidR="004F74DE" w:rsidRDefault="009A50DC">
            <w:pPr>
              <w:jc w:val="center"/>
            </w:pPr>
            <w:r>
              <w:rPr>
                <w:rFonts w:ascii="Calibri" w:hAnsi="Calibri" w:cs="Calibri"/>
                <w:b/>
                <w:color w:val="0D381F"/>
              </w:rPr>
              <w:t>Affordable Housing</w:t>
            </w:r>
          </w:p>
          <w:p w14:paraId="2C197E71" w14:textId="77777777" w:rsidR="004F74DE" w:rsidRDefault="004F74DE">
            <w:pPr>
              <w:jc w:val="center"/>
            </w:pPr>
          </w:p>
          <w:p w14:paraId="69148F56" w14:textId="77777777" w:rsidR="004F74DE" w:rsidRDefault="009A50DC">
            <w:pPr>
              <w:jc w:val="center"/>
            </w:pP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54CBD1B9" w14:textId="77777777" w:rsidR="004F74DE" w:rsidRDefault="009A50DC">
            <w:pPr>
              <w:numPr>
                <w:ilvl w:val="0"/>
                <w:numId w:val="2"/>
              </w:numPr>
              <w:ind w:left="240" w:hanging="300"/>
            </w:pPr>
            <w:r>
              <w:rPr>
                <w:rFonts w:ascii="Calibri" w:hAnsi="Calibri" w:cs="Calibri"/>
                <w:color w:val="0D381F"/>
                <w:shd w:val="clear" w:color="auto" w:fill="F4F9EB"/>
              </w:rPr>
              <w:t>Construct and operate low-cost housing in accordance with local government and regulatory definitions</w:t>
            </w:r>
          </w:p>
          <w:p w14:paraId="2A398D3C" w14:textId="77777777" w:rsidR="004F74DE" w:rsidRDefault="009A50DC">
            <w:pPr>
              <w:numPr>
                <w:ilvl w:val="0"/>
                <w:numId w:val="3"/>
              </w:numPr>
              <w:ind w:left="520" w:hanging="300"/>
            </w:pPr>
            <w:r>
              <w:rPr>
                <w:rFonts w:ascii="Calibri" w:hAnsi="Calibri" w:cs="Calibri"/>
                <w:color w:val="0D381F"/>
                <w:shd w:val="clear" w:color="auto" w:fill="F4F9EB"/>
              </w:rPr>
              <w:t xml:space="preserve">Examples would include but not limited to </w:t>
            </w:r>
            <w:r>
              <w:rPr>
                <w:rFonts w:ascii="Calibri" w:hAnsi="Calibri" w:cs="Calibri"/>
                <w:color w:val="0D381F"/>
                <w:shd w:val="clear" w:color="auto" w:fill="F4F9EB"/>
              </w:rPr>
              <w:t>public rental housing, social security housing for and resettlement houses</w:t>
            </w:r>
          </w:p>
        </w:tc>
        <w:tc>
          <w:tcPr>
            <w:tcW w:w="2000" w:type="dxa"/>
            <w:shd w:val="clear" w:color="auto" w:fill="F4F9EB"/>
            <w:vAlign w:val="center"/>
          </w:tcPr>
          <w:p w14:paraId="7CEC0744" w14:textId="77777777" w:rsidR="004F74DE" w:rsidRDefault="009A50DC">
            <w:pPr>
              <w:numPr>
                <w:ilvl w:val="0"/>
                <w:numId w:val="2"/>
              </w:numPr>
              <w:ind w:left="240" w:hanging="300"/>
            </w:pPr>
            <w:r>
              <w:rPr>
                <w:rFonts w:ascii="Calibri" w:hAnsi="Calibri" w:cs="Calibri"/>
                <w:color w:val="0D381F"/>
                <w:shd w:val="clear" w:color="auto" w:fill="F4F9EB"/>
              </w:rPr>
              <w:t>Provide affordable housing to meet the residential needs of low-income families</w:t>
            </w:r>
          </w:p>
        </w:tc>
        <w:tc>
          <w:tcPr>
            <w:tcW w:w="1488" w:type="dxa"/>
            <w:shd w:val="clear" w:color="auto" w:fill="F4F9EB"/>
            <w:vAlign w:val="center"/>
          </w:tcPr>
          <w:p w14:paraId="05DFBF0E" w14:textId="77777777" w:rsidR="004F74DE" w:rsidRDefault="009A50DC">
            <w:pPr>
              <w:numPr>
                <w:ilvl w:val="0"/>
                <w:numId w:val="2"/>
              </w:numPr>
              <w:ind w:left="240" w:hanging="300"/>
            </w:pPr>
            <w:r>
              <w:rPr>
                <w:rFonts w:ascii="Calibri" w:hAnsi="Calibri" w:cs="Calibri"/>
                <w:color w:val="0D381F"/>
                <w:shd w:val="clear" w:color="auto" w:fill="F4F9EB"/>
              </w:rPr>
              <w:t>SBP2023</w:t>
            </w:r>
          </w:p>
          <w:p w14:paraId="73B13F98" w14:textId="77777777" w:rsidR="004F74DE" w:rsidRDefault="009A50DC">
            <w:pPr>
              <w:numPr>
                <w:ilvl w:val="0"/>
                <w:numId w:val="2"/>
              </w:numPr>
              <w:ind w:left="240" w:hanging="300"/>
            </w:pPr>
            <w:r>
              <w:rPr>
                <w:rFonts w:ascii="Calibri" w:hAnsi="Calibri" w:cs="Calibri"/>
                <w:color w:val="0D381F"/>
                <w:shd w:val="clear" w:color="auto" w:fill="F4F9EB"/>
              </w:rPr>
              <w:t>SLP2023</w:t>
            </w:r>
          </w:p>
          <w:p w14:paraId="71E19D4E" w14:textId="77777777" w:rsidR="004F74DE" w:rsidRDefault="009A50DC">
            <w:pPr>
              <w:numPr>
                <w:ilvl w:val="0"/>
                <w:numId w:val="2"/>
              </w:numPr>
              <w:ind w:left="240" w:hanging="300"/>
            </w:pPr>
            <w:r>
              <w:rPr>
                <w:rFonts w:ascii="Calibri" w:hAnsi="Calibri" w:cs="Calibri"/>
                <w:color w:val="0D381F"/>
                <w:shd w:val="clear" w:color="auto" w:fill="F4F9EB"/>
              </w:rPr>
              <w:t>SDGs 11.1</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3B46B4E1" w14:textId="77777777" w:rsidR="004F74DE" w:rsidRDefault="009A50DC">
      <w:pPr>
        <w:numPr>
          <w:ilvl w:val="0"/>
          <w:numId w:val="2"/>
        </w:numPr>
        <w:spacing w:beforeLines="50" w:before="163" w:after="160"/>
        <w:ind w:left="720"/>
        <w:jc w:val="both"/>
      </w:pPr>
      <w:r>
        <w:rPr>
          <w:rFonts w:ascii="Calibri" w:hAnsi="Calibri" w:cs="Calibri"/>
        </w:rPr>
        <w:t xml:space="preserve">Production or trade in any product or activity deemed illegal under host country laws or regulations or international conventions and agreements, or subject to international bans, such as pharmaceuticals, </w:t>
      </w:r>
      <w:r>
        <w:rPr>
          <w:rFonts w:ascii="Calibri" w:hAnsi="Calibri" w:cs="Calibri"/>
        </w:rPr>
        <w:t>pesticides/herbicides, ozone-depleting substances, polychlorinated biphenyls (PCBs), wildlife or products regulated under the Convention on International Trade in Endangered Species of Wild Fauna and Flora (CITES).</w:t>
      </w:r>
    </w:p>
    <w:p w14:paraId="2295FC2C" w14:textId="77777777" w:rsidR="004F74DE" w:rsidRDefault="009A50DC">
      <w:pPr>
        <w:numPr>
          <w:ilvl w:val="0"/>
          <w:numId w:val="2"/>
        </w:numPr>
        <w:spacing w:beforeLines="50" w:before="163" w:after="160"/>
        <w:ind w:left="720"/>
        <w:jc w:val="both"/>
      </w:pPr>
      <w:r>
        <w:rPr>
          <w:rFonts w:ascii="Calibri" w:hAnsi="Calibri" w:cs="Calibri"/>
        </w:rPr>
        <w:lastRenderedPageBreak/>
        <w:t>Production or trade in weapons and muniti</w:t>
      </w:r>
      <w:r>
        <w:rPr>
          <w:rFonts w:ascii="Calibri" w:hAnsi="Calibri" w:cs="Calibri"/>
        </w:rPr>
        <w:t>ons.</w:t>
      </w:r>
    </w:p>
    <w:p w14:paraId="6EF7F50E" w14:textId="77777777" w:rsidR="004F74DE" w:rsidRDefault="009A50DC">
      <w:pPr>
        <w:numPr>
          <w:ilvl w:val="0"/>
          <w:numId w:val="2"/>
        </w:numPr>
        <w:spacing w:beforeLines="50" w:before="163" w:after="160"/>
        <w:ind w:left="720"/>
        <w:jc w:val="both"/>
      </w:pPr>
      <w:r>
        <w:rPr>
          <w:rFonts w:ascii="Calibri" w:hAnsi="Calibri" w:cs="Calibri"/>
        </w:rPr>
        <w:t>Production or trade in alcoholic beverages (excluding beer and wine).</w:t>
      </w:r>
    </w:p>
    <w:p w14:paraId="39810875" w14:textId="77777777" w:rsidR="004F74DE" w:rsidRDefault="009A50DC">
      <w:pPr>
        <w:numPr>
          <w:ilvl w:val="0"/>
          <w:numId w:val="2"/>
        </w:numPr>
        <w:spacing w:beforeLines="50" w:before="163" w:after="160"/>
        <w:ind w:left="720"/>
        <w:jc w:val="both"/>
      </w:pPr>
      <w:r>
        <w:rPr>
          <w:rFonts w:ascii="Calibri" w:hAnsi="Calibri" w:cs="Calibri"/>
        </w:rPr>
        <w:t>Production or trade in tobacco.</w:t>
      </w:r>
    </w:p>
    <w:p w14:paraId="262E3969" w14:textId="77777777" w:rsidR="004F74DE" w:rsidRDefault="009A50DC">
      <w:pPr>
        <w:numPr>
          <w:ilvl w:val="0"/>
          <w:numId w:val="2"/>
        </w:numPr>
        <w:spacing w:beforeLines="50" w:before="163" w:after="160"/>
        <w:ind w:left="720"/>
        <w:jc w:val="both"/>
      </w:pPr>
      <w:r>
        <w:rPr>
          <w:rFonts w:ascii="Calibri" w:hAnsi="Calibri" w:cs="Calibri"/>
        </w:rPr>
        <w:t>Gambling, casinos, and equivalent enterprises.</w:t>
      </w:r>
    </w:p>
    <w:p w14:paraId="565D40DE" w14:textId="77777777" w:rsidR="004F74DE" w:rsidRDefault="009A50DC">
      <w:pPr>
        <w:numPr>
          <w:ilvl w:val="0"/>
          <w:numId w:val="2"/>
        </w:numPr>
        <w:spacing w:beforeLines="50" w:before="163" w:after="160"/>
        <w:ind w:left="720"/>
        <w:jc w:val="both"/>
      </w:pPr>
      <w:r>
        <w:rPr>
          <w:rFonts w:ascii="Calibri" w:hAnsi="Calibri" w:cs="Calibri"/>
        </w:rPr>
        <w:t xml:space="preserve">Production or trade in radioactive materials. This does not apply to the purchase of medical </w:t>
      </w:r>
      <w:r>
        <w:rPr>
          <w:rFonts w:ascii="Calibri" w:hAnsi="Calibri" w:cs="Calibri"/>
        </w:rPr>
        <w:t>equipment, quality control (measurement) equipment and any equipment where any international financial company considers the radioactive source to be trivial and/or adequately shielded.</w:t>
      </w:r>
    </w:p>
    <w:p w14:paraId="528E68AD" w14:textId="77777777" w:rsidR="004F74DE" w:rsidRDefault="009A50DC">
      <w:pPr>
        <w:numPr>
          <w:ilvl w:val="0"/>
          <w:numId w:val="2"/>
        </w:numPr>
        <w:spacing w:beforeLines="50" w:before="163" w:after="160"/>
        <w:ind w:left="720"/>
        <w:jc w:val="both"/>
      </w:pPr>
      <w:r>
        <w:rPr>
          <w:rFonts w:ascii="Calibri" w:hAnsi="Calibri" w:cs="Calibri"/>
        </w:rPr>
        <w:t>Production or trade in unbonded asbestos fibres. This does not apply t</w:t>
      </w:r>
      <w:r>
        <w:rPr>
          <w:rFonts w:ascii="Calibri" w:hAnsi="Calibri" w:cs="Calibri"/>
        </w:rPr>
        <w:t>o the purchase and use of bonded asbestos cement sheeting where the asbestos content is less than 20 percent.</w:t>
      </w:r>
    </w:p>
    <w:p w14:paraId="3C52A17F" w14:textId="77777777" w:rsidR="004F74DE" w:rsidRDefault="009A50DC">
      <w:pPr>
        <w:numPr>
          <w:ilvl w:val="0"/>
          <w:numId w:val="2"/>
        </w:numPr>
        <w:spacing w:beforeLines="50" w:before="163" w:after="160"/>
        <w:ind w:left="720"/>
        <w:jc w:val="both"/>
      </w:pPr>
      <w:r>
        <w:rPr>
          <w:rFonts w:ascii="Calibri" w:hAnsi="Calibri" w:cs="Calibri"/>
        </w:rPr>
        <w:t>Drift net fishing in the marine environment using nets over 2.5 kilometres in length.</w:t>
      </w:r>
    </w:p>
    <w:p w14:paraId="490A4726" w14:textId="77777777" w:rsidR="004F74DE" w:rsidRDefault="009A50DC">
      <w:pPr>
        <w:numPr>
          <w:ilvl w:val="0"/>
          <w:numId w:val="2"/>
        </w:numPr>
        <w:spacing w:beforeLines="50" w:before="163" w:after="160"/>
        <w:ind w:left="720"/>
        <w:jc w:val="both"/>
      </w:pPr>
      <w:r>
        <w:rPr>
          <w:rFonts w:ascii="Calibri" w:hAnsi="Calibri" w:cs="Calibri"/>
        </w:rPr>
        <w:t>Production or activities involving harmful or exploitative f</w:t>
      </w:r>
      <w:r>
        <w:rPr>
          <w:rFonts w:ascii="Calibri" w:hAnsi="Calibri" w:cs="Calibri"/>
        </w:rPr>
        <w:t>orms of forced labour/harmful child labour.</w:t>
      </w:r>
    </w:p>
    <w:p w14:paraId="2A58579F" w14:textId="77777777" w:rsidR="004F74DE" w:rsidRDefault="009A50DC">
      <w:pPr>
        <w:numPr>
          <w:ilvl w:val="0"/>
          <w:numId w:val="2"/>
        </w:numPr>
        <w:spacing w:beforeLines="50" w:before="163" w:after="160"/>
        <w:ind w:left="720"/>
        <w:jc w:val="both"/>
      </w:pPr>
      <w:r>
        <w:rPr>
          <w:rFonts w:ascii="Calibri" w:hAnsi="Calibri" w:cs="Calibri"/>
        </w:rPr>
        <w:t>Commercial logging operations for use in primary tropical forest.</w:t>
      </w:r>
    </w:p>
    <w:p w14:paraId="1A2627EF" w14:textId="77777777" w:rsidR="004F74DE" w:rsidRDefault="009A50DC">
      <w:pPr>
        <w:numPr>
          <w:ilvl w:val="0"/>
          <w:numId w:val="2"/>
        </w:numPr>
        <w:spacing w:beforeLines="50" w:before="163" w:after="160"/>
        <w:ind w:left="720"/>
        <w:jc w:val="both"/>
      </w:pPr>
      <w:r>
        <w:rPr>
          <w:rFonts w:ascii="Calibri" w:hAnsi="Calibri" w:cs="Calibri"/>
        </w:rPr>
        <w:t>Production or trade in wood or other forestry products other than from sustainably managed forests.</w:t>
      </w:r>
    </w:p>
    <w:p w14:paraId="44D6C601" w14:textId="77777777" w:rsidR="004F74DE" w:rsidRDefault="009A50DC">
      <w:pPr>
        <w:numPr>
          <w:ilvl w:val="0"/>
          <w:numId w:val="2"/>
        </w:numPr>
        <w:spacing w:beforeLines="50" w:before="163" w:after="160"/>
        <w:ind w:left="720"/>
        <w:jc w:val="both"/>
      </w:pPr>
      <w:r>
        <w:rPr>
          <w:rFonts w:ascii="Calibri" w:hAnsi="Calibri" w:cs="Calibri"/>
        </w:rPr>
        <w:t>Projects related to fossil fuel.</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2537FBF1" w14:textId="77777777" w:rsidR="004F74DE" w:rsidRDefault="009A50DC">
            <w:pPr>
              <w:numPr>
                <w:ilvl w:val="0"/>
                <w:numId w:val="2"/>
              </w:numPr>
              <w:jc w:val="both"/>
            </w:pPr>
            <w:r>
              <w:rPr>
                <w:rFonts w:ascii="Calibri" w:hAnsi="Calibri" w:cs="Calibri"/>
                <w:color w:val="0D381F"/>
              </w:rPr>
              <w:t xml:space="preserve">CCXGFI has reviewed the </w:t>
            </w:r>
            <w:r>
              <w:rPr>
                <w:rFonts w:ascii="Calibri" w:hAnsi="Calibri"/>
                <w:color w:val="FF0000"/>
              </w:rPr>
            </w:r>
            <w:r>
              <w:rPr>
                <w:rFonts w:ascii="Calibri" w:hAnsi="Calibri"/>
                <w:color w:val="0D381F"/>
              </w:rPr>
              <w:t>Group’s Framework and examined the governance and process for the evaluation and selection of the Eligible Projects.</w:t>
            </w:r>
          </w:p>
          <w:p w14:paraId="6FC92590" w14:textId="77777777" w:rsidR="004F74DE" w:rsidRDefault="009A50DC">
            <w:pPr>
              <w:numPr>
                <w:ilvl w:val="0"/>
                <w:numId w:val="2"/>
              </w:numPr>
              <w:jc w:val="both"/>
            </w:pPr>
            <w:r>
              <w:rPr>
                <w:rFonts w:ascii="Calibri" w:hAnsi="Calibri" w:cs="Calibri"/>
                <w:color w:val="0D381F"/>
              </w:rPr>
              <w:t xml:space="preserve">The </w:t>
            </w:r>
            <w:r>
              <w:rPr>
                <w:rFonts w:ascii="Calibri" w:hAnsi="Calibri" w:cs="Calibri"/>
                <w:color w:val="FF0000"/>
              </w:rPr>
            </w:r>
            <w:r>
              <w:rPr>
                <w:rFonts w:ascii="Calibri" w:hAnsi="Calibri"/>
                <w:color w:val="0D381F"/>
              </w:rPr>
              <w:t xml:space="preserve">Group has </w:t>
            </w:r>
            <w:r>
              <w:rPr>
                <w:rFonts w:ascii="Calibri" w:hAnsi="Calibri"/>
                <w:color w:val="0D381F"/>
              </w:rPr>
              <w:t>built a multi-layer control structure with different business departments and set up a reasonable process for project evaluation and selection.</w:t>
            </w:r>
          </w:p>
          <w:p w14:paraId="12B2FD6D" w14:textId="77777777" w:rsidR="004F74DE" w:rsidRDefault="009A50DC">
            <w:pPr>
              <w:numPr>
                <w:ilvl w:val="0"/>
                <w:numId w:val="2"/>
              </w:numPr>
              <w:jc w:val="both"/>
            </w:pPr>
            <w:r>
              <w:rPr>
                <w:rFonts w:ascii="Calibri" w:hAnsi="Calibri" w:cs="Calibri"/>
                <w:color w:val="0D381F"/>
              </w:rPr>
              <w:t>CCXGFI is of the opinion that the process is formalised and reasonably structured, transparent, relevant and ali</w:t>
            </w:r>
            <w:r>
              <w:rPr>
                <w:rFonts w:ascii="Calibri" w:hAnsi="Calibri" w:cs="Calibri"/>
                <w:color w:val="0D381F"/>
              </w:rPr>
              <w:t>gned with this component of the GBP2021 (with June 2022 Appendix I), GLP2023, SBP2023, SLP2023 and SBG2021.</w:t>
            </w:r>
          </w:p>
        </w:tc>
      </w:tr>
    </w:tbl>
    <w:p w14:paraId="77B0F8AA" w14:textId="77777777" w:rsidR="004F74DE" w:rsidRDefault="009A50DC">
      <w:pPr>
        <w:spacing w:beforeLines="50" w:before="163" w:after="160"/>
        <w:jc w:val="both"/>
      </w:pPr>
      <w:r>
        <w:rPr>
          <w:rFonts w:ascii="Calibri" w:hAnsi="Calibri" w:cs="Calibri"/>
        </w:rPr>
        <w:t xml:space="preserve">The Team of the </w:t>
      </w:r>
      <w:r>
        <w:rPr>
          <w:rFonts w:ascii="Calibri" w:hAnsi="Calibri" w:cs="Calibri"/>
          <w:color w:val="FF0000"/>
        </w:rPr>
      </w:r>
      <w:r>
        <w:rPr>
          <w:rFonts w:ascii="Calibri" w:hAnsi="Calibri"/>
        </w:rPr>
        <w:t xml:space="preserve">Group consists of senior management members from various functions, including Financing Management Department, Financial </w:t>
      </w:r>
      <w:r>
        <w:rPr>
          <w:rFonts w:ascii="Calibri" w:hAnsi="Calibri"/>
        </w:rPr>
        <w:t>Management Department, Strategic and Investment Department, Project Management Department (Safety Management Office), Asset Operation Department and Risk Control and Legal Affairs Department.</w:t>
      </w:r>
    </w:p>
    <w:p w14:paraId="5B408931" w14:textId="77777777" w:rsidR="004F74DE" w:rsidRDefault="009A50DC">
      <w:pPr>
        <w:spacing w:beforeLines="50" w:before="163" w:after="160"/>
        <w:jc w:val="both"/>
      </w:pPr>
      <w:r>
        <w:rPr>
          <w:rFonts w:ascii="Calibri" w:hAnsi="Calibri" w:cs="Calibri"/>
        </w:rPr>
        <w:t xml:space="preserve">The Team holds meetings annually to discuss and select Eligible </w:t>
      </w:r>
      <w:r>
        <w:rPr>
          <w:rFonts w:ascii="Calibri" w:hAnsi="Calibri" w:cs="Calibri"/>
        </w:rPr>
        <w:t>Sustainable Projects (ESPs) according to the Eligibility Criteria. The Team’s responsibilities include evaluating project compliance, approving projects for the Sustainable Project List, and monitoring the use of proceeds. They also manage updates to the F</w:t>
      </w:r>
      <w:r>
        <w:rPr>
          <w:rFonts w:ascii="Calibri" w:hAnsi="Calibri" w:cs="Calibri"/>
        </w:rPr>
        <w:t xml:space="preserve">ramework and ensure alignment with the </w:t>
      </w:r>
      <w:r>
        <w:rPr>
          <w:rFonts w:ascii="Calibri" w:hAnsi="Calibri"/>
          <w:color w:val="FF0000"/>
        </w:rPr>
      </w:r>
      <w:r>
        <w:rPr>
          <w:rFonts w:ascii="Calibri" w:hAnsi="Calibri"/>
        </w:rPr>
        <w:t>Group’s mission, vision, and relevant regulations.</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55DC0B52" w14:textId="77777777" w:rsidR="004F74DE" w:rsidRDefault="009A50DC">
      <w:pPr>
        <w:numPr>
          <w:ilvl w:val="0"/>
          <w:numId w:val="20"/>
        </w:numPr>
        <w:spacing w:beforeLines="50" w:before="163" w:after="160"/>
        <w:ind w:left="720"/>
        <w:jc w:val="both"/>
      </w:pPr>
      <w:r>
        <w:rPr>
          <w:rFonts w:ascii="Calibri" w:hAnsi="Calibri" w:cs="Calibri"/>
        </w:rPr>
        <w:t>Evaluating the compliance of projects with the Eligibility Criteria outlin</w:t>
      </w:r>
      <w:r>
        <w:rPr>
          <w:rFonts w:ascii="Calibri" w:hAnsi="Calibri" w:cs="Calibri"/>
        </w:rPr>
        <w:t xml:space="preserve">ed in the Use of Proceeds under the </w:t>
      </w:r>
      <w:proofErr w:type="gramStart"/>
      <w:r>
        <w:rPr>
          <w:rFonts w:ascii="Calibri" w:hAnsi="Calibri" w:cs="Calibri"/>
        </w:rPr>
        <w:t>Framework;</w:t>
      </w:r>
      <w:proofErr w:type="gramEnd"/>
    </w:p>
    <w:p w14:paraId="75AB1F8E" w14:textId="77777777" w:rsidR="004F74DE" w:rsidRDefault="009A50DC">
      <w:pPr>
        <w:numPr>
          <w:ilvl w:val="0"/>
          <w:numId w:val="20"/>
        </w:numPr>
        <w:spacing w:beforeLines="50" w:before="163" w:after="160"/>
        <w:ind w:left="720"/>
        <w:jc w:val="both"/>
      </w:pPr>
      <w:r>
        <w:rPr>
          <w:rFonts w:ascii="Calibri" w:hAnsi="Calibri" w:cs="Calibri"/>
        </w:rPr>
        <w:t>Approving the inclusion of preselected Eligible Projects in Sustainable Project List (the Team has full discretion to object the inclusion of any project</w:t>
      </w:r>
      <w:proofErr w:type="gramStart"/>
      <w:r>
        <w:rPr>
          <w:rFonts w:ascii="Calibri" w:hAnsi="Calibri" w:cs="Calibri"/>
        </w:rPr>
        <w:t>);</w:t>
      </w:r>
      <w:proofErr w:type="gramEnd"/>
    </w:p>
    <w:p w14:paraId="40E67176" w14:textId="77777777" w:rsidR="004F74DE" w:rsidRDefault="009A50DC">
      <w:pPr>
        <w:numPr>
          <w:ilvl w:val="0"/>
          <w:numId w:val="20"/>
        </w:numPr>
        <w:spacing w:beforeLines="50" w:before="163" w:after="160"/>
        <w:ind w:left="720"/>
        <w:jc w:val="both"/>
      </w:pPr>
      <w:r>
        <w:rPr>
          <w:rFonts w:ascii="Calibri" w:hAnsi="Calibri" w:cs="Calibri"/>
        </w:rPr>
        <w:lastRenderedPageBreak/>
        <w:t>Monitoring and managing the Sustainable Project List.</w:t>
      </w:r>
      <w:r>
        <w:rPr>
          <w:rFonts w:ascii="Calibri" w:hAnsi="Calibri" w:cs="Calibri"/>
        </w:rPr>
        <w:t xml:space="preserve"> The </w:t>
      </w:r>
      <w:proofErr w:type="gramStart"/>
      <w:r>
        <w:rPr>
          <w:rFonts w:ascii="Calibri" w:hAnsi="Calibri" w:cs="Calibri"/>
          <w:color w:val="FF0000"/>
        </w:rPr>
      </w:r>
      <w:proofErr w:type="gramEnd"/>
      <w:r>
        <w:rPr>
          <w:rFonts w:ascii="Calibri" w:hAnsi="Calibri"/>
        </w:rPr>
        <w:t xml:space="preserve">Group will maintain a register to keep track the use of net proceeds of the SFTs through the internal information system on an annual </w:t>
      </w:r>
      <w:r>
        <w:rPr>
          <w:rFonts w:ascii="Calibri" w:hAnsi="Calibri"/>
        </w:rPr>
        <w:t>basis;</w:t>
      </w:r>
    </w:p>
    <w:p w14:paraId="639BA4D7" w14:textId="77777777" w:rsidR="004F74DE" w:rsidRDefault="009A50DC">
      <w:pPr>
        <w:numPr>
          <w:ilvl w:val="0"/>
          <w:numId w:val="20"/>
        </w:numPr>
        <w:spacing w:beforeLines="50" w:before="163" w:after="160"/>
        <w:ind w:left="720"/>
        <w:jc w:val="both"/>
      </w:pPr>
      <w:r>
        <w:rPr>
          <w:rFonts w:ascii="Calibri" w:hAnsi="Calibri" w:cs="Calibri"/>
        </w:rPr>
        <w:t>Replacing projects that no longer meet the Eligible Criteria or due to any divestments; and</w:t>
      </w:r>
    </w:p>
    <w:p w14:paraId="650FB84D" w14:textId="77777777" w:rsidR="004F74DE" w:rsidRDefault="009A50DC">
      <w:pPr>
        <w:numPr>
          <w:ilvl w:val="0"/>
          <w:numId w:val="20"/>
        </w:numPr>
        <w:spacing w:beforeLines="50" w:before="163" w:after="160"/>
        <w:ind w:left="720"/>
        <w:jc w:val="both"/>
      </w:pPr>
      <w:r>
        <w:rPr>
          <w:rFonts w:ascii="Calibri" w:hAnsi="Calibri" w:cs="Calibri"/>
        </w:rPr>
        <w:t>Observing the deve</w:t>
      </w:r>
      <w:r>
        <w:rPr>
          <w:rFonts w:ascii="Calibri" w:hAnsi="Calibri" w:cs="Calibri"/>
        </w:rPr>
        <w:t>lopment of sustainable financing market and approving updates to this Framework accordingly to reflect relevant changes in our corporate strategy or market development.</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7110561E" w14:textId="77777777" w:rsidR="004F74DE" w:rsidRDefault="009A50DC">
            <w:pPr>
              <w:numPr>
                <w:ilvl w:val="0"/>
                <w:numId w:val="2"/>
              </w:numPr>
              <w:jc w:val="both"/>
            </w:pPr>
            <w:r>
              <w:rPr>
                <w:rFonts w:ascii="Calibri" w:hAnsi="Calibri" w:cs="Calibri"/>
                <w:color w:val="0D381F"/>
              </w:rPr>
              <w:t xml:space="preserve">CCXGFI has reviewed the </w:t>
            </w:r>
            <w:r>
              <w:rPr>
                <w:rFonts w:ascii="Calibri" w:hAnsi="Calibri"/>
                <w:color w:val="FF0000"/>
              </w:rPr>
            </w:r>
            <w:r>
              <w:rPr>
                <w:rFonts w:ascii="Calibri" w:hAnsi="Calibri"/>
                <w:color w:val="0D381F"/>
              </w:rPr>
              <w:t>Group’s Sustainable Finance Framework and the Group’s policies on management of proceeds.</w:t>
            </w:r>
          </w:p>
          <w:p w14:paraId="1AC4C2B9" w14:textId="77777777" w:rsidR="004F74DE" w:rsidRDefault="009A50DC">
            <w:pPr>
              <w:numPr>
                <w:ilvl w:val="0"/>
                <w:numId w:val="2"/>
              </w:numPr>
              <w:jc w:val="both"/>
            </w:pPr>
            <w:r>
              <w:rPr>
                <w:rFonts w:ascii="Calibri" w:hAnsi="Calibri" w:cs="Calibri"/>
                <w:color w:val="0D381F"/>
              </w:rPr>
              <w:t xml:space="preserve">The </w:t>
            </w:r>
            <w:r>
              <w:rPr>
                <w:rFonts w:ascii="Calibri" w:hAnsi="Calibri" w:cs="Calibri"/>
                <w:color w:val="FF0000"/>
              </w:rPr>
            </w:r>
            <w:r>
              <w:rPr>
                <w:rFonts w:ascii="Calibri" w:hAnsi="Calibri"/>
                <w:color w:val="0D381F"/>
              </w:rPr>
              <w:t xml:space="preserve">Group has clearly defined the rules for the management of </w:t>
            </w:r>
            <w:r>
              <w:rPr>
                <w:rFonts w:ascii="Calibri" w:hAnsi="Calibri"/>
                <w:color w:val="0D381F"/>
              </w:rPr>
              <w:t>proceeds. CCXGFI is of the opinion that they would make a traceable and transparent allocation process which matches the requirements of the GBP2021 (with June 2022 Appendix I), GLP2023, SBP2023, SLP2023 and SBG2021.</w:t>
            </w:r>
          </w:p>
          <w:p w14:paraId="096EF692" w14:textId="77777777" w:rsidR="004F74DE" w:rsidRDefault="009A50DC">
            <w:pPr>
              <w:numPr>
                <w:ilvl w:val="0"/>
                <w:numId w:val="2"/>
              </w:numPr>
              <w:jc w:val="both"/>
            </w:pPr>
            <w:r>
              <w:rPr>
                <w:rFonts w:ascii="Calibri" w:hAnsi="Calibri" w:cs="Calibri"/>
                <w:color w:val="0D381F"/>
              </w:rPr>
              <w:t>It is recommended that if applicable, t</w:t>
            </w:r>
            <w:r>
              <w:rPr>
                <w:rFonts w:ascii="Calibri" w:hAnsi="Calibri" w:cs="Calibri"/>
                <w:color w:val="0D381F"/>
              </w:rPr>
              <w:t xml:space="preserve">he </w:t>
            </w:r>
            <w:r>
              <w:rPr>
                <w:rFonts w:ascii="Calibri" w:hAnsi="Calibri" w:cs="Calibri"/>
                <w:color w:val="FF0000"/>
              </w:rPr>
            </w:r>
            <w:r>
              <w:rPr>
                <w:rFonts w:ascii="Calibri" w:hAnsi="Calibri"/>
                <w:color w:val="0D381F"/>
              </w:rPr>
              <w:t>Group could establish a special account instead of depositing proceeds in the general funding accounts and consider engaging external agencies to oversee the management of these funds, thereby showing a stronger signal about the Group’s commitment to su</w:t>
            </w:r>
            <w:r>
              <w:rPr>
                <w:rFonts w:ascii="Calibri" w:hAnsi="Calibri"/>
                <w:color w:val="0D381F"/>
              </w:rPr>
              <w:t>stainability.</w:t>
            </w:r>
          </w:p>
        </w:tc>
      </w:tr>
    </w:tbl>
    <w:p w14:paraId="50A1D072" w14:textId="1086A8BE" w:rsidR="00723570" w:rsidRPr="000D2EA4" w:rsidRDefault="009A50DC" w:rsidP="00336287">
      <w:pPr>
        <w:spacing w:beforeLines="50" w:before="163" w:after="160"/>
        <w:jc w:val="both"/>
        <w:rPr>
          <w:rFonts w:ascii="Calibri" w:hAnsi="Calibri" w:cs="Calibri"/>
          <w:color w:val="7F7F7F" w:themeColor="text1" w:themeTint="80"/>
        </w:rPr>
      </w:pPr>
      <w:r>
        <w:rPr>
          <w:rFonts w:ascii="Calibri" w:hAnsi="Calibri" w:cs="Calibri"/>
        </w:rPr>
        <w:t xml:space="preserve">The </w:t>
      </w:r>
      <w:r>
        <w:rPr>
          <w:rFonts w:ascii="Calibri" w:hAnsi="Calibri" w:cs="Calibri"/>
          <w:color w:val="FF0000"/>
        </w:rPr>
      </w:r>
      <w:r>
        <w:rPr>
          <w:rFonts w:ascii="Calibri" w:hAnsi="Calibri"/>
        </w:rPr>
        <w:t>Group intends to allocate an amount equal to the net proceeds of the SFT(s) over time to finance or refinance the eligible green and social projects, with each transaction’s proceeds deposited into general funding accounts and designated</w:t>
      </w:r>
      <w:r>
        <w:rPr>
          <w:rFonts w:ascii="Calibri" w:hAnsi="Calibri"/>
        </w:rPr>
        <w:t xml:space="preserve"> towards these projects.</w:t>
      </w:r>
    </w:p>
    <w:p w14:paraId="5B96D796" w14:textId="625AC934" w:rsidR="00723570" w:rsidRPr="000D2EA4" w:rsidRDefault="009A50DC"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00F5FDD5" w14:textId="77777777" w:rsidR="004F74DE" w:rsidRDefault="009A50DC">
      <w:pPr>
        <w:numPr>
          <w:ilvl w:val="0"/>
          <w:numId w:val="2"/>
        </w:numPr>
        <w:spacing w:beforeLines="50" w:before="163" w:after="160"/>
        <w:ind w:left="820"/>
      </w:pPr>
      <w:r>
        <w:rPr>
          <w:rFonts w:ascii="Calibri" w:hAnsi="Calibri" w:cs="Calibri"/>
        </w:rPr>
        <w:t>Type of Funding Transaction</w:t>
      </w:r>
    </w:p>
    <w:p w14:paraId="78179018" w14:textId="77777777" w:rsidR="004F74DE" w:rsidRDefault="009A50DC">
      <w:pPr>
        <w:numPr>
          <w:ilvl w:val="0"/>
          <w:numId w:val="2"/>
        </w:numPr>
        <w:spacing w:beforeLines="50" w:before="163" w:after="160"/>
        <w:ind w:left="820"/>
      </w:pPr>
      <w:r>
        <w:rPr>
          <w:rFonts w:ascii="Calibri" w:hAnsi="Calibri" w:cs="Calibri"/>
        </w:rPr>
        <w:t xml:space="preserve">Key information includes issuer/borrower entity, transaction date, the principal </w:t>
      </w:r>
      <w:r>
        <w:rPr>
          <w:rFonts w:ascii="Calibri" w:hAnsi="Calibri" w:cs="Calibri"/>
        </w:rPr>
        <w:t>amount of proceeds, repayment or amortization profile, maturity date, interest or coupon, the ISIN number etc.</w:t>
      </w:r>
    </w:p>
    <w:p w14:paraId="3AFFE002" w14:textId="77777777" w:rsidR="004F74DE" w:rsidRDefault="009A50DC">
      <w:pPr>
        <w:numPr>
          <w:ilvl w:val="0"/>
          <w:numId w:val="2"/>
        </w:numPr>
        <w:spacing w:beforeLines="50" w:before="163" w:after="160"/>
        <w:ind w:left="820"/>
      </w:pPr>
      <w:r>
        <w:rPr>
          <w:rFonts w:ascii="Calibri" w:hAnsi="Calibri" w:cs="Calibri"/>
        </w:rPr>
        <w:t>Allocation of Use of Proceeds</w:t>
      </w:r>
    </w:p>
    <w:p w14:paraId="05417257" w14:textId="77777777" w:rsidR="004F74DE" w:rsidRDefault="009A50DC">
      <w:pPr>
        <w:numPr>
          <w:ilvl w:val="0"/>
          <w:numId w:val="2"/>
        </w:numPr>
        <w:spacing w:beforeLines="50" w:before="163" w:after="160"/>
        <w:ind w:left="820"/>
      </w:pPr>
      <w:r>
        <w:rPr>
          <w:rFonts w:ascii="Calibri" w:hAnsi="Calibri" w:cs="Calibri"/>
        </w:rPr>
        <w:t>Name and description of the eligible projects to which the proceeds of the SFT have been allocated in accordance wi</w:t>
      </w:r>
      <w:r>
        <w:rPr>
          <w:rFonts w:ascii="Calibri" w:hAnsi="Calibri" w:cs="Calibri"/>
        </w:rPr>
        <w:t>th the Framework</w:t>
      </w:r>
    </w:p>
    <w:p w14:paraId="3ACC1D44" w14:textId="77777777" w:rsidR="004F74DE" w:rsidRDefault="009A50DC">
      <w:pPr>
        <w:numPr>
          <w:ilvl w:val="0"/>
          <w:numId w:val="2"/>
        </w:numPr>
        <w:spacing w:beforeLines="50" w:before="163" w:after="160"/>
        <w:ind w:left="820"/>
      </w:pPr>
      <w:r>
        <w:rPr>
          <w:rFonts w:ascii="Calibri" w:hAnsi="Calibri" w:cs="Calibri"/>
        </w:rPr>
        <w:t>Amount and date of the SFT proceeds allocated to each eligible project</w:t>
      </w:r>
    </w:p>
    <w:p w14:paraId="438B933E" w14:textId="77777777" w:rsidR="004F74DE" w:rsidRDefault="009A50DC">
      <w:pPr>
        <w:numPr>
          <w:ilvl w:val="0"/>
          <w:numId w:val="2"/>
        </w:numPr>
        <w:spacing w:beforeLines="50" w:before="163" w:after="160"/>
        <w:ind w:left="820"/>
      </w:pPr>
      <w:r>
        <w:rPr>
          <w:rFonts w:ascii="Calibri" w:hAnsi="Calibri" w:cs="Calibri"/>
        </w:rPr>
        <w:t>The remaining balance of unallocated proceeds is yet to be earmarked for eligible projects</w:t>
      </w:r>
    </w:p>
    <w:p w14:paraId="5C9C8DAF" w14:textId="77777777" w:rsidR="004F74DE" w:rsidRDefault="009A50DC">
      <w:pPr>
        <w:numPr>
          <w:ilvl w:val="0"/>
          <w:numId w:val="2"/>
        </w:numPr>
        <w:spacing w:beforeLines="50" w:before="163" w:after="160"/>
        <w:ind w:left="820"/>
      </w:pPr>
      <w:r>
        <w:rPr>
          <w:rFonts w:ascii="Calibri" w:hAnsi="Calibri" w:cs="Calibri"/>
        </w:rPr>
        <w:t>Other relevant information such as information in relation to temporary inves</w:t>
      </w:r>
      <w:r>
        <w:rPr>
          <w:rFonts w:ascii="Calibri" w:hAnsi="Calibri" w:cs="Calibri"/>
        </w:rPr>
        <w:t>tment for unallocated proceeds (the investment amount and investment type)</w:t>
      </w:r>
    </w:p>
    <w:p w14:paraId="7CF45C72" w14:textId="4E6BC774" w:rsidR="004F74DE" w:rsidRDefault="009A50DC">
      <w:pPr>
        <w:spacing w:beforeLines="50" w:before="163" w:after="160"/>
        <w:jc w:val="both"/>
      </w:pPr>
      <w:r>
        <w:rPr>
          <w:rFonts w:ascii="Calibri" w:hAnsi="Calibri" w:cs="Calibri"/>
        </w:rPr>
        <w:t xml:space="preserve">Any balance of issuance proceeds which are not yet allocated to eligible green and social projects will be </w:t>
      </w:r>
      <w:r>
        <w:rPr>
          <w:rFonts w:ascii="Calibri" w:hAnsi="Calibri" w:cs="Calibri"/>
        </w:rPr>
        <w:t xml:space="preserve">held in accordance with the </w:t>
      </w:r>
      <w:r>
        <w:rPr>
          <w:rFonts w:ascii="Calibri" w:hAnsi="Calibri" w:cs="Calibri"/>
          <w:color w:val="FF0000"/>
        </w:rPr>
      </w:r>
      <w:r>
        <w:rPr>
          <w:rFonts w:ascii="Calibri" w:hAnsi="Calibri"/>
        </w:rPr>
        <w:t>Group’s normal liquidity management policy, a</w:t>
      </w:r>
      <w:r>
        <w:rPr>
          <w:rFonts w:ascii="Calibri" w:hAnsi="Calibri"/>
        </w:rPr>
        <w:t>nd the Group commits not to invest such unallocated net proceeds to the projects which are subject to exclusions criteria under this Framework.</w:t>
      </w:r>
    </w:p>
    <w:p w14:paraId="458B7481" w14:textId="77777777" w:rsidR="004F74DE" w:rsidRDefault="009A50DC">
      <w:pPr>
        <w:spacing w:beforeLines="50" w:before="163" w:after="160"/>
        <w:jc w:val="both"/>
      </w:pPr>
      <w:r>
        <w:rPr>
          <w:rFonts w:ascii="Calibri" w:hAnsi="Calibri" w:cs="Calibri"/>
        </w:rPr>
        <w:lastRenderedPageBreak/>
        <w:t>During the life of the SFIs issued, if the designated projects cease to fulfil the eligibility criterias, the ne</w:t>
      </w:r>
      <w:r>
        <w:rPr>
          <w:rFonts w:ascii="Calibri" w:hAnsi="Calibri" w:cs="Calibri"/>
        </w:rPr>
        <w:t>t proceeds will be re-allocated to replacement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trPr>
          <w:trHeight w:val="2731"/>
        </w:trPr>
        <w:tc>
          <w:tcPr>
            <w:tcW w:w="10514" w:type="dxa"/>
            <w:tcBorders>
              <w:top w:val="nil"/>
              <w:left w:val="nil"/>
              <w:bottom w:val="nil"/>
              <w:right w:val="nil"/>
            </w:tcBorders>
            <w:shd w:val="clear" w:color="auto" w:fill="F4F9EB"/>
            <w:vAlign w:val="center"/>
          </w:tcPr>
          <w:p w14:paraId="6C2F3FA6" w14:textId="77777777" w:rsidR="004F74DE" w:rsidRDefault="009A50DC">
            <w:pPr>
              <w:numPr>
                <w:ilvl w:val="0"/>
                <w:numId w:val="2"/>
              </w:numPr>
              <w:jc w:val="both"/>
            </w:pPr>
            <w:r>
              <w:rPr>
                <w:rFonts w:ascii="Calibri" w:hAnsi="Calibri" w:cs="Calibri"/>
                <w:color w:val="0D381F"/>
              </w:rPr>
              <w:t xml:space="preserve">CCXGFI has reviewed the </w:t>
            </w:r>
            <w:r>
              <w:rPr>
                <w:rFonts w:ascii="Calibri" w:hAnsi="Calibri" w:cs="Calibri"/>
                <w:color w:val="FF0000"/>
              </w:rPr>
            </w:r>
            <w:r>
              <w:rPr>
                <w:rFonts w:ascii="Calibri" w:hAnsi="Calibri"/>
                <w:color w:val="0D381F"/>
              </w:rPr>
              <w:t xml:space="preserve">Group’s </w:t>
            </w:r>
            <w:r>
              <w:rPr>
                <w:rFonts w:ascii="Calibri" w:hAnsi="Calibri"/>
                <w:color w:val="0D381F"/>
              </w:rPr>
              <w:t>Framework and examined the reporting mechanism.</w:t>
            </w:r>
          </w:p>
          <w:p w14:paraId="6BA9B5A5" w14:textId="77777777" w:rsidR="004F74DE" w:rsidRDefault="009A50DC">
            <w:pPr>
              <w:numPr>
                <w:ilvl w:val="0"/>
                <w:numId w:val="2"/>
              </w:numPr>
              <w:jc w:val="both"/>
            </w:pPr>
            <w:r>
              <w:rPr>
                <w:rFonts w:ascii="Calibri" w:hAnsi="Calibri" w:cs="Calibri"/>
                <w:color w:val="0D381F"/>
              </w:rPr>
              <w:t xml:space="preserve">The </w:t>
            </w:r>
            <w:r>
              <w:rPr>
                <w:rFonts w:ascii="Calibri" w:hAnsi="Calibri" w:cs="Calibri"/>
                <w:color w:val="FF0000"/>
              </w:rPr>
            </w:r>
            <w:r>
              <w:rPr>
                <w:rFonts w:ascii="Calibri" w:hAnsi="Calibri"/>
                <w:color w:val="0D381F"/>
              </w:rPr>
              <w:t xml:space="preserve">Group is committed to reporting the allocation of net proceeds at least annually until full allocation of the net proceeds of any SFI issued, or if there is a change of allocation during the </w:t>
            </w:r>
            <w:r>
              <w:rPr>
                <w:rFonts w:ascii="Calibri" w:hAnsi="Calibri"/>
                <w:color w:val="0D381F"/>
              </w:rPr>
              <w:t>outstanding period of the SFI.</w:t>
            </w:r>
          </w:p>
          <w:p w14:paraId="68AA5BF9" w14:textId="77777777" w:rsidR="004F74DE" w:rsidRDefault="009A50DC">
            <w:pPr>
              <w:numPr>
                <w:ilvl w:val="0"/>
                <w:numId w:val="2"/>
              </w:numPr>
              <w:jc w:val="both"/>
            </w:pPr>
            <w:r>
              <w:rPr>
                <w:rFonts w:ascii="Calibri" w:hAnsi="Calibri" w:cs="Calibri"/>
                <w:color w:val="0D381F"/>
              </w:rPr>
              <w:t xml:space="preserve">CCXGFI is of the opinion that the report disclosure under the Framework aligns with the GBP2021 (with June 2022 Appendix I), GLP2023, SBP2023, LP2023 and SBG2021. CCXGFI recommends the </w:t>
            </w:r>
            <w:r>
              <w:rPr>
                <w:rFonts w:ascii="Calibri" w:hAnsi="Calibri" w:cs="Calibri"/>
                <w:color w:val="FF0000"/>
              </w:rPr>
            </w:r>
            <w:r>
              <w:rPr>
                <w:rFonts w:ascii="Calibri" w:hAnsi="Calibri"/>
                <w:color w:val="0D381F"/>
              </w:rPr>
              <w:t>Group keep reporting until maturity if i</w:t>
            </w:r>
            <w:r>
              <w:rPr>
                <w:rFonts w:ascii="Calibri" w:hAnsi="Calibri"/>
                <w:color w:val="0D381F"/>
              </w:rPr>
              <w:t>t is possible.</w:t>
            </w:r>
          </w:p>
        </w:tc>
      </w:tr>
    </w:tbl>
    <w:p w14:paraId="1C05E5DC" w14:textId="7124B0F4"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 xml:space="preserve">The </w:t>
      </w:r>
      <w:r>
        <w:rPr>
          <w:rFonts w:ascii="Calibri" w:hAnsi="Calibri"/>
          <w:color w:val="FF0000"/>
        </w:rPr>
      </w:r>
      <w:r>
        <w:rPr>
          <w:rFonts w:ascii="Calibri" w:hAnsi="Calibri"/>
        </w:rPr>
        <w:t>Group will provide information on the allocation of the net proceeds or equivalent amount of the net proceeds of the SFTs via the website, social media, or report. Such information will be updated on an annual basis until all the net proceeds of the SFTs have been fully allocated.</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6A9741FC" w14:textId="77777777" w:rsidR="004F74DE" w:rsidRDefault="009A50DC">
      <w:pPr>
        <w:numPr>
          <w:ilvl w:val="0"/>
          <w:numId w:val="2"/>
        </w:numPr>
        <w:spacing w:beforeLines="50" w:before="163" w:after="160"/>
        <w:ind w:left="820"/>
      </w:pPr>
      <w:r>
        <w:rPr>
          <w:rFonts w:ascii="Calibri" w:hAnsi="Calibri" w:cs="Calibri"/>
        </w:rPr>
        <w:t>Amount of allocated proceed by Eligible Categories, with a brief description of green and/or social projects</w:t>
      </w:r>
    </w:p>
    <w:p w14:paraId="47CB5B47" w14:textId="77777777" w:rsidR="004F74DE" w:rsidRDefault="009A50DC">
      <w:pPr>
        <w:numPr>
          <w:ilvl w:val="0"/>
          <w:numId w:val="2"/>
        </w:numPr>
        <w:spacing w:beforeLines="50" w:before="163" w:after="160"/>
        <w:ind w:left="820"/>
      </w:pPr>
      <w:r>
        <w:rPr>
          <w:rFonts w:ascii="Calibri" w:hAnsi="Calibri" w:cs="Calibri"/>
        </w:rPr>
        <w:t xml:space="preserve">The remaining </w:t>
      </w:r>
      <w:r>
        <w:rPr>
          <w:rFonts w:ascii="Calibri" w:hAnsi="Calibri" w:cs="Calibri"/>
        </w:rPr>
        <w:t>balance of funds which have not yet been allocated</w:t>
      </w:r>
    </w:p>
    <w:p w14:paraId="5F79A0DC" w14:textId="77777777" w:rsidR="004F74DE" w:rsidRDefault="009A50DC">
      <w:pPr>
        <w:numPr>
          <w:ilvl w:val="0"/>
          <w:numId w:val="2"/>
        </w:numPr>
        <w:spacing w:beforeLines="50" w:before="163" w:after="160"/>
        <w:ind w:left="820"/>
      </w:pPr>
      <w:r>
        <w:rPr>
          <w:rFonts w:ascii="Calibri" w:hAnsi="Calibri" w:cs="Calibri"/>
        </w:rPr>
        <w:t>Share of financing vs. refinancing</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w:t>
            </w:r>
            <w:proofErr w:type="gramStart"/>
            <w:r>
              <w:rPr>
                <w:rFonts w:ascii="Calibri" w:hAnsi="Calibri" w:cs="Calibri" w:hint="eastAsia"/>
                <w:b/>
                <w:bCs/>
                <w:color w:val="1B4314"/>
              </w:rPr>
              <w:t>Principles</w:t>
            </w:r>
            <w:proofErr w:type="gramEnd"/>
            <w:r>
              <w:rPr>
                <w:rFonts w:ascii="Calibri" w:hAnsi="Calibri" w:cs="Calibri" w:hint="eastAsia"/>
                <w:b/>
                <w:bCs/>
                <w:color w:val="1B4314"/>
              </w:rPr>
              <w:t>.</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FF0000"/>
          <w:sz w:val="36"/>
          <w:szCs w:val="40"/>
        </w:rPr>
      </w:r>
      <w:r>
        <w:rPr>
          <w:rFonts w:ascii="Calibri" w:hAnsi="Calibri" w:cs="Calibri"/>
          <w:b/>
          <w:bCs/>
          <w:color w:val="316729"/>
          <w:sz w:val="36"/>
          <w:szCs w:val="40"/>
        </w:rPr>
        <w:t>Group</w:t>
      </w:r>
      <w:r>
        <w:rPr>
          <w:rFonts w:ascii="Calibri" w:hAnsi="Calibri"/>
          <w:b/>
          <w:color w:val="316729"/>
          <w:sz w:val="36"/>
        </w:rPr>
        <w:t>’s Sustainable Development Strategy</w:t>
      </w:r>
    </w:p>
    <w:p w14:paraId="581D119B" w14:textId="77777777" w:rsidR="004F74DE" w:rsidRDefault="009A50DC">
      <w:pPr>
        <w:spacing w:beforeLines="50" w:before="163" w:after="160"/>
        <w:jc w:val="both"/>
      </w:pPr>
      <w:r>
        <w:rPr>
          <w:rFonts w:ascii="Calibri" w:hAnsi="Calibri" w:cs="Calibri"/>
        </w:rPr>
        <w:t xml:space="preserve">The </w:t>
      </w:r>
      <w:r>
        <w:rPr>
          <w:rFonts w:ascii="Calibri" w:hAnsi="Calibri" w:cs="Calibri"/>
          <w:color w:val="FF0000"/>
        </w:rPr>
      </w:r>
      <w:r>
        <w:rPr>
          <w:rFonts w:ascii="Calibri" w:hAnsi="Calibri" w:cs="Calibri"/>
        </w:rPr>
        <w:t>Group is actively aligning its infrastructure projects with the Chinese government’s policies on sustainable urban management, particularly those related to the enhancement of urban drainage systems. This alignment is c</w:t>
      </w:r>
      <w:r>
        <w:rPr>
          <w:rFonts w:ascii="Calibri" w:hAnsi="Calibri" w:cs="Calibri"/>
        </w:rPr>
        <w:t>rucial within their Sustainable Finance Framework, ensuring projects are not merely compliant but are strategically aligned with national sustainability goals. The construction and maintenance of sustainable urban drainage systems, a key component of their</w:t>
      </w:r>
      <w:r>
        <w:rPr>
          <w:rFonts w:ascii="Calibri" w:hAnsi="Calibri"/>
        </w:rPr>
        <w:t xml:space="preserve"> eligible green projects, are supported by recent policies such as the comprehensive upgrade plan for drainage systems in Shanghai, which includes the construction of new pipelines and green infrastructure aiming to enhance flood resilience. These initiati</w:t>
      </w:r>
      <w:r>
        <w:rPr>
          <w:rFonts w:ascii="Calibri" w:hAnsi="Calibri"/>
        </w:rPr>
        <w:t>ves, underpinned by government policies, reinforce that the Group’s projects are integral to their sustainable development vision, combining efforts towards economic growth with environmental stewardship.</w:t>
      </w:r>
    </w:p>
    <w:p w14:paraId="6E39408C" w14:textId="77777777" w:rsidR="004F74DE" w:rsidRDefault="009A50DC">
      <w:pPr>
        <w:spacing w:beforeLines="50" w:before="163" w:after="160"/>
        <w:jc w:val="both"/>
      </w:pPr>
      <w:r>
        <w:rPr>
          <w:rFonts w:ascii="Calibri" w:hAnsi="Calibri" w:cs="Calibri"/>
        </w:rPr>
        <w:t xml:space="preserve">The </w:t>
      </w:r>
      <w:r>
        <w:rPr>
          <w:rFonts w:ascii="Calibri" w:hAnsi="Calibri" w:cs="Calibri"/>
          <w:color w:val="FF0000"/>
        </w:rPr>
      </w:r>
      <w:r>
        <w:rPr>
          <w:rFonts w:ascii="Calibri" w:hAnsi="Calibri" w:cs="Calibri"/>
        </w:rPr>
        <w:t xml:space="preserve">Group defines Sustainable Water and Wastewater </w:t>
      </w:r>
      <w:r>
        <w:rPr>
          <w:rFonts w:ascii="Calibri" w:hAnsi="Calibri" w:cs="Calibri"/>
        </w:rPr>
        <w:t xml:space="preserve">Management, Green Building and Affordable Housing as eligible green and social projects categories. Furthermore, the SFIs issued under the Sustainable Finance Framework contribute to the 6 SDGs, systematically advancing the </w:t>
      </w:r>
      <w:r>
        <w:rPr>
          <w:rFonts w:ascii="Calibri" w:hAnsi="Calibri"/>
          <w:color w:val="FF0000"/>
        </w:rPr>
      </w:r>
      <w:r>
        <w:rPr>
          <w:rFonts w:ascii="Calibri" w:hAnsi="Calibri"/>
        </w:rPr>
        <w:t>Group. In particular, the eligib</w:t>
      </w:r>
      <w:r>
        <w:rPr>
          <w:rFonts w:ascii="Calibri" w:hAnsi="Calibri"/>
        </w:rPr>
        <w:t>le projects are closely related to the Group’s major business activities, and at the same time, the Group’s current development provides overall guidance for the establishment of the Framework. Hence, the outlined Framework is expected to be consistent wit</w:t>
      </w:r>
      <w:r>
        <w:rPr>
          <w:rFonts w:ascii="Calibri" w:hAnsi="Calibri"/>
        </w:rPr>
        <w: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 xml:space="preserve">the </w:t>
            </w:r>
            <w:r w:rsidRPr="00A31B62">
              <w:rPr>
                <w:rFonts w:ascii="Calibri" w:hAnsi="Calibri" w:cs="Calibri"/>
                <w:b/>
                <w:bCs/>
                <w:color w:val="FF0000"/>
              </w:rPr>
            </w:r>
            <w:r>
              <w:rPr>
                <w:rFonts w:ascii="Calibri" w:hAnsi="Calibri"/>
                <w:b/>
                <w:color w:val="1B4314"/>
              </w:rPr>
              <w:t>Group</w:t>
            </w:r>
            <w:r>
              <w:rPr>
                <w:rFonts w:ascii="Calibri" w:hAnsi="Calibri"/>
                <w:b/>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4F74DE" w14:paraId="18266F77" w14:textId="77777777">
        <w:tc>
          <w:tcPr>
            <w:tcW w:w="8500" w:type="dxa"/>
            <w:shd w:val="clear" w:color="auto" w:fill="316729"/>
          </w:tcPr>
          <w:p w14:paraId="256E2183" w14:textId="77777777" w:rsidR="004F74DE" w:rsidRDefault="009A50DC">
            <w:r>
              <w:rPr>
                <w:rFonts w:ascii="Calibri" w:hAnsi="Calibri" w:cs="Calibri"/>
                <w:b/>
                <w:color w:val="FFFFFF"/>
                <w:sz w:val="30"/>
                <w:szCs w:val="30"/>
              </w:rPr>
              <w:t>Sustainable Water and Wastewater Management</w:t>
            </w:r>
          </w:p>
        </w:tc>
        <w:tc>
          <w:tcPr>
            <w:tcW w:w="2000" w:type="dxa"/>
            <w:shd w:val="clear" w:color="auto" w:fill="316729"/>
          </w:tcPr>
          <w:p w14:paraId="0D0872BD" w14:textId="77777777" w:rsidR="004F74DE" w:rsidRDefault="004F74DE"/>
        </w:tc>
      </w:tr>
      <w:tr w:rsidR="004F74DE" w14:paraId="1524AA5A" w14:textId="77777777">
        <w:tc>
          <w:tcPr>
            <w:tcW w:w="360" w:type="dxa"/>
            <w:shd w:val="clear" w:color="auto" w:fill="F4F9EB"/>
          </w:tcPr>
          <w:p w14:paraId="158EE18E" w14:textId="77777777" w:rsidR="004F74DE" w:rsidRDefault="009A50DC">
            <w:pPr>
              <w:numPr>
                <w:ilvl w:val="0"/>
                <w:numId w:val="2"/>
              </w:numPr>
              <w:jc w:val="both"/>
            </w:pPr>
            <w:r>
              <w:rPr>
                <w:rFonts w:ascii="Calibri" w:hAnsi="Calibri" w:cs="Calibri"/>
                <w:color w:val="0D381F"/>
                <w:shd w:val="clear" w:color="auto" w:fill="F4F9EB"/>
              </w:rPr>
              <w:t xml:space="preserve">Despite advancements in sustainable water management in Pingdu City, led by Pingdu City Development </w:t>
            </w:r>
            <w:r>
              <w:rPr>
                <w:rFonts w:ascii="Calibri" w:hAnsi="Calibri" w:cs="Calibri"/>
                <w:color w:val="FF0000"/>
                <w:shd w:val="clear" w:color="auto" w:fill="F4F9EB"/>
              </w:rPr>
            </w:r>
            <w:r>
              <w:rPr>
                <w:rFonts w:ascii="Calibri" w:hAnsi="Calibri" w:cs="Calibri"/>
                <w:color w:val="0D381F"/>
                <w:shd w:val="clear" w:color="auto" w:fill="F4F9EB"/>
              </w:rPr>
              <w:t xml:space="preserve">Group Co., Ltd., environmental challenges like pollution prevention persist. These are </w:t>
            </w:r>
            <w:r>
              <w:rPr>
                <w:rFonts w:ascii="Calibri" w:hAnsi="Calibri" w:cs="Calibri"/>
                <w:color w:val="0D381F"/>
                <w:shd w:val="clear" w:color="auto" w:fill="F4F9EB"/>
              </w:rPr>
              <w:t>linked to carbon neutrality goals, hindered by outdated infrastructure in China. The 14th Five-Year Plan mandates water conservation and regulation in high-consumption industries to reduce water use per GDP unit by 16%. Achieving carbon neutrality requires</w:t>
            </w:r>
            <w:r>
              <w:rPr>
                <w:rFonts w:ascii="Calibri" w:hAnsi="Calibri"/>
                <w:color w:val="0D381F"/>
              </w:rPr>
              <w:t xml:space="preserve"> significant investment and innovation, as highlighted by national policies. This sector is crucial within the Sustainable Finance Framework, aiming to meet UN SDGs, particularly SDG 6, SDG 12, and SDG 13, emphasizing the need for better pollution control </w:t>
            </w:r>
            <w:r>
              <w:rPr>
                <w:rFonts w:ascii="Calibri" w:hAnsi="Calibri"/>
                <w:color w:val="0D381F"/>
              </w:rPr>
              <w:t>and advanced water management.</w:t>
            </w:r>
          </w:p>
          <w:p w14:paraId="256FB657" w14:textId="77777777" w:rsidR="004F74DE" w:rsidRDefault="009A50DC">
            <w:pPr>
              <w:numPr>
                <w:ilvl w:val="0"/>
                <w:numId w:val="2"/>
              </w:numPr>
              <w:jc w:val="both"/>
            </w:pPr>
            <w:r>
              <w:rPr>
                <w:rFonts w:ascii="Calibri" w:hAnsi="Calibri" w:cs="Calibri"/>
                <w:color w:val="0D381F"/>
                <w:shd w:val="clear" w:color="auto" w:fill="F4F9EB"/>
              </w:rPr>
              <w:t xml:space="preserve">The </w:t>
            </w:r>
            <w:r>
              <w:rPr>
                <w:rFonts w:ascii="Calibri" w:hAnsi="Calibri" w:cs="Calibri"/>
                <w:color w:val="FF0000"/>
                <w:shd w:val="clear" w:color="auto" w:fill="F4F9EB"/>
              </w:rPr>
            </w:r>
            <w:r>
              <w:rPr>
                <w:rFonts w:ascii="Calibri" w:hAnsi="Calibri" w:cs="Calibri"/>
                <w:color w:val="0D381F"/>
                <w:shd w:val="clear" w:color="auto" w:fill="F4F9EB"/>
              </w:rPr>
              <w:t xml:space="preserve">Group’s </w:t>
            </w:r>
            <w:r>
              <w:rPr>
                <w:rFonts w:ascii="Calibri" w:hAnsi="Calibri" w:cs="Calibri"/>
                <w:color w:val="FF0000"/>
                <w:shd w:val="clear" w:color="auto" w:fill="F4F9EB"/>
              </w:rPr>
            </w:r>
            <w:r>
              <w:rPr>
                <w:rFonts w:ascii="Calibri" w:hAnsi="Calibri"/>
                <w:color w:val="FF0000"/>
              </w:rPr>
              <w:t>[12-1]</w:t>
            </w:r>
            <w:r>
              <w:rPr>
                <w:rFonts w:ascii="Calibri" w:hAnsi="Calibri"/>
                <w:color w:val="0D381F"/>
              </w:rPr>
              <w:t>sustainable water and wastewater management framework offers significant environmental benefits, supported by theory and case studies. Advanced treatment technologies and infrastructure modernization ensure compli</w:t>
            </w:r>
            <w:r>
              <w:rPr>
                <w:rFonts w:ascii="Calibri" w:hAnsi="Calibri"/>
                <w:color w:val="0D381F"/>
              </w:rPr>
              <w:t>ance with national discharge standards, reducing environmental impacts. Water-conserving products and intelligent management systems improve efficiency, achieving over 20% in water savings and leakage prevention. Sustainable urban drainage systems and pipe</w:t>
            </w:r>
            <w:r>
              <w:rPr>
                <w:rFonts w:ascii="Calibri" w:hAnsi="Calibri"/>
                <w:color w:val="0D381F"/>
              </w:rPr>
              <w:t>line networks reduce flood risks and enhance water quality, crucial for ecological restoration. These efforts align with pollution prevention and sustainable water use goals, emphasizing technology and strategic investments for environmental sustainability</w:t>
            </w:r>
            <w:r>
              <w:rPr>
                <w:rFonts w:ascii="Calibri" w:hAnsi="Calibri"/>
                <w:color w:val="0D381F"/>
              </w:rPr>
              <w:t>.</w:t>
            </w:r>
          </w:p>
          <w:p w14:paraId="49B2F275" w14:textId="77777777" w:rsidR="004F74DE" w:rsidRDefault="009A50DC">
            <w:pPr>
              <w:numPr>
                <w:ilvl w:val="0"/>
                <w:numId w:val="2"/>
              </w:numPr>
              <w:jc w:val="both"/>
            </w:pPr>
            <w:r>
              <w:rPr>
                <w:rFonts w:ascii="Calibri" w:hAnsi="Calibri" w:cs="Calibri"/>
                <w:color w:val="0D381F"/>
                <w:shd w:val="clear" w:color="auto" w:fill="F4F9EB"/>
              </w:rPr>
              <w:t>The Sustainable Water and Wastewater Management project aligns closely with the Chinese government’s policy emphasis on innovation and resource efficiency in wastewater management, as evidenced by a recent achievement where a Chinese wastewater treatment</w:t>
            </w:r>
            <w:r>
              <w:rPr>
                <w:rFonts w:ascii="Calibri" w:hAnsi="Calibri" w:cs="Calibri"/>
                <w:color w:val="0D381F"/>
                <w:shd w:val="clear" w:color="auto" w:fill="F4F9EB"/>
              </w:rPr>
              <w:t xml:space="preserve"> project was awarded the global innovation top prize by the International Water </w:t>
            </w:r>
            <w:proofErr w:type="gramStart"/>
            <w:r>
              <w:rPr>
                <w:rFonts w:ascii="Calibri" w:hAnsi="Calibri" w:cs="Calibri"/>
                <w:color w:val="0D381F"/>
                <w:shd w:val="clear" w:color="auto" w:fill="F4F9EB"/>
              </w:rPr>
              <w:t>Association .</w:t>
            </w:r>
            <w:proofErr w:type="gramEnd"/>
            <w:r>
              <w:rPr>
                <w:rFonts w:ascii="Calibri" w:hAnsi="Calibri" w:cs="Calibri"/>
                <w:color w:val="0D381F"/>
                <w:shd w:val="clear" w:color="auto" w:fill="F4F9EB"/>
              </w:rPr>
              <w:t xml:space="preserve"> This underscores the national commitment to advancing state-of-the-art water management technologies, which is in direct alignment with the </w:t>
            </w:r>
            <w:r>
              <w:rPr>
                <w:rFonts w:ascii="Calibri" w:hAnsi="Calibri" w:cs="Calibri"/>
                <w:color w:val="FF0000"/>
                <w:shd w:val="clear" w:color="auto" w:fill="F4F9EB"/>
              </w:rPr>
            </w:r>
            <w:r>
              <w:rPr>
                <w:rFonts w:ascii="Calibri" w:hAnsi="Calibri" w:cs="Calibri"/>
                <w:color w:val="0D381F"/>
                <w:shd w:val="clear" w:color="auto" w:fill="F4F9EB"/>
              </w:rPr>
              <w:t xml:space="preserve">Group’s objectives to </w:t>
            </w:r>
            <w:r>
              <w:rPr>
                <w:rFonts w:ascii="Calibri" w:hAnsi="Calibri"/>
                <w:color w:val="0D381F"/>
              </w:rPr>
              <w:t>construct and maintain urban drainage systems and water supply networks. Furthermore, the policy framework recognizes wastewater as a valuable resource, advocating for pollution reduction at the source and the reuse of treated water, which directly support</w:t>
            </w:r>
            <w:r>
              <w:rPr>
                <w:rFonts w:ascii="Calibri" w:hAnsi="Calibri"/>
                <w:color w:val="0D381F"/>
              </w:rPr>
              <w:t>s the sustainability goals set by the Group.</w:t>
            </w:r>
          </w:p>
        </w:tc>
        <w:tc>
          <w:tcPr>
            <w:tcW w:w="360" w:type="dxa"/>
            <w:shd w:val="clear" w:color="auto" w:fill="F4F9EB"/>
          </w:tcPr>
          <w:p w14:paraId="710C5DF3" w14:textId="77777777" w:rsidR="004F74DE" w:rsidRDefault="004F74DE"/>
          <w:p w14:paraId="027D1F41" w14:textId="77777777" w:rsidR="004F74DE" w:rsidRDefault="009A50DC">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5"/>
                          <a:stretch>
                            <a:fillRect/>
                          </a:stretch>
                        </pic:blipFill>
                        <pic:spPr>
                          <a:xfrm>
                            <a:off x="0" y="0"/>
                            <a:ext cx="604400" cy="604400"/>
                          </a:xfrm>
                          <a:prstGeom prst="rect">
                            <a:avLst/>
                          </a:prstGeom>
                        </pic:spPr>
                      </pic:pic>
                    </a:graphicData>
                  </a:graphic>
                </wp:inline>
              </w:drawing>
            </w:r>
          </w:p>
        </w:tc>
      </w:tr>
      <w:tr w:rsidR="004F74DE" w14:paraId="463D75FD" w14:textId="77777777">
        <w:tc>
          <w:tcPr>
            <w:tcW w:w="8500" w:type="dxa"/>
            <w:shd w:val="clear" w:color="auto" w:fill="316729"/>
          </w:tcPr>
          <w:p w14:paraId="3AA7F8D8" w14:textId="77777777" w:rsidR="004F74DE" w:rsidRDefault="009A50DC">
            <w:r>
              <w:rPr>
                <w:rFonts w:ascii="Calibri" w:hAnsi="Calibri" w:cs="Calibri"/>
                <w:b/>
                <w:color w:val="FFFFFF"/>
                <w:sz w:val="30"/>
                <w:szCs w:val="30"/>
              </w:rPr>
              <w:t>Green Building</w:t>
            </w:r>
          </w:p>
        </w:tc>
        <w:tc>
          <w:tcPr>
            <w:tcW w:w="2000" w:type="dxa"/>
            <w:shd w:val="clear" w:color="auto" w:fill="316729"/>
          </w:tcPr>
          <w:p w14:paraId="59023F26" w14:textId="77777777" w:rsidR="004F74DE" w:rsidRDefault="004F74DE"/>
        </w:tc>
      </w:tr>
      <w:tr w:rsidR="004F74DE" w14:paraId="07637580" w14:textId="77777777">
        <w:tc>
          <w:tcPr>
            <w:tcW w:w="360" w:type="dxa"/>
            <w:shd w:val="clear" w:color="auto" w:fill="F4F9EB"/>
          </w:tcPr>
          <w:p w14:paraId="3EE434F1" w14:textId="77777777" w:rsidR="004F74DE" w:rsidRDefault="009A50DC">
            <w:pPr>
              <w:numPr>
                <w:ilvl w:val="0"/>
                <w:numId w:val="2"/>
              </w:numPr>
              <w:jc w:val="both"/>
            </w:pPr>
            <w:r>
              <w:rPr>
                <w:rFonts w:ascii="Calibri" w:hAnsi="Calibri" w:cs="Calibri"/>
                <w:color w:val="0D381F"/>
                <w:shd w:val="clear" w:color="auto" w:fill="F4F9EB"/>
              </w:rPr>
              <w:t xml:space="preserve">In China, the construction sector is a major source of carbon emissions, significantly impacting energy consumption and greenhouse gas emissions. A plan by governmental bodies, </w:t>
            </w:r>
            <w:r>
              <w:rPr>
                <w:rFonts w:ascii="Calibri" w:hAnsi="Calibri" w:cs="Calibri"/>
                <w:color w:val="0D381F"/>
                <w:shd w:val="clear" w:color="auto" w:fill="F4F9EB"/>
              </w:rPr>
              <w:t>including the Ministry of Industry and Information Technology, aims for the building materials sector to reach a carbon peak by 2030. Despite efforts for carbon neutrality, significant changes in industrial structures and societal living are needed for sus</w:t>
            </w:r>
            <w:r>
              <w:rPr>
                <w:rFonts w:ascii="Calibri" w:hAnsi="Calibri" w:cs="Calibri"/>
                <w:color w:val="0D381F"/>
                <w:shd w:val="clear" w:color="auto" w:fill="F4F9EB"/>
              </w:rPr>
              <w:t xml:space="preserve">tainability. Integrating the green building sector into the Sustainable Finance Framework is crucial for achieving carbon peaking and neutrality. </w:t>
            </w:r>
            <w:proofErr w:type="gramStart"/>
            <w:r>
              <w:rPr>
                <w:rFonts w:ascii="Calibri" w:hAnsi="Calibri" w:cs="Calibri"/>
                <w:color w:val="0D381F"/>
                <w:shd w:val="clear" w:color="auto" w:fill="F4F9EB"/>
              </w:rPr>
              <w:t>Buildings</w:t>
            </w:r>
            <w:proofErr w:type="gramEnd"/>
            <w:r>
              <w:rPr>
                <w:rFonts w:ascii="Calibri" w:hAnsi="Calibri" w:cs="Calibri"/>
                <w:color w:val="0D381F"/>
                <w:shd w:val="clear" w:color="auto" w:fill="F4F9EB"/>
              </w:rPr>
              <w:t xml:space="preserve"> meeting standards like LEED, BREEAM, </w:t>
            </w:r>
            <w:r>
              <w:rPr>
                <w:rFonts w:ascii="Calibri" w:hAnsi="Calibri" w:cs="Calibri"/>
                <w:color w:val="0D381F"/>
                <w:shd w:val="clear" w:color="auto" w:fill="F4F9EB"/>
              </w:rPr>
              <w:lastRenderedPageBreak/>
              <w:t>or China’s GBL are key to reducing energy use, emissions, and i</w:t>
            </w:r>
            <w:r>
              <w:rPr>
                <w:rFonts w:ascii="Calibri" w:hAnsi="Calibri" w:cs="Calibri"/>
                <w:color w:val="0D381F"/>
                <w:shd w:val="clear" w:color="auto" w:fill="F4F9EB"/>
              </w:rPr>
              <w:t>mproving resource efficiency.</w:t>
            </w:r>
          </w:p>
          <w:p w14:paraId="53CFC6B5" w14:textId="77777777" w:rsidR="004F74DE" w:rsidRDefault="009A50DC">
            <w:pPr>
              <w:numPr>
                <w:ilvl w:val="0"/>
                <w:numId w:val="2"/>
              </w:numPr>
              <w:jc w:val="both"/>
            </w:pPr>
            <w:r>
              <w:rPr>
                <w:rFonts w:ascii="Calibri" w:hAnsi="Calibri" w:cs="Calibri"/>
                <w:color w:val="0D381F"/>
                <w:shd w:val="clear" w:color="auto" w:fill="F4F9EB"/>
              </w:rPr>
              <w:t>The ecological benefits of the Green Building framework are supported by theory and practice. Green-certified structures show superior energy efficiency, reducing operational costs and greenhouse emissions. Studies indicate su</w:t>
            </w:r>
            <w:r>
              <w:rPr>
                <w:rFonts w:ascii="Calibri" w:hAnsi="Calibri" w:cs="Calibri"/>
                <w:color w:val="0D381F"/>
                <w:shd w:val="clear" w:color="auto" w:fill="F4F9EB"/>
              </w:rPr>
              <w:t>ch buildings can cut energy use by 20-30% compared to traditional ones. Using sustainable materials and technologies aids resource conservation and recycling, supporting the circular economy. These efforts align with the Sustainable Finance Framework and d</w:t>
            </w:r>
            <w:r>
              <w:rPr>
                <w:rFonts w:ascii="Calibri" w:hAnsi="Calibri" w:cs="Calibri"/>
                <w:color w:val="0D381F"/>
                <w:shd w:val="clear" w:color="auto" w:fill="F4F9EB"/>
              </w:rPr>
              <w:t>emonstrate green buildings’ environmental benefits, promoting ecological civilization and sustainable urban development.</w:t>
            </w:r>
          </w:p>
          <w:p w14:paraId="650700B1" w14:textId="77777777" w:rsidR="004F74DE" w:rsidRDefault="009A50DC">
            <w:pPr>
              <w:numPr>
                <w:ilvl w:val="0"/>
                <w:numId w:val="2"/>
              </w:numPr>
              <w:jc w:val="both"/>
            </w:pPr>
            <w:r>
              <w:rPr>
                <w:rFonts w:ascii="Calibri" w:hAnsi="Calibri" w:cs="Calibri"/>
                <w:color w:val="0D381F"/>
                <w:shd w:val="clear" w:color="auto" w:fill="F4F9EB"/>
              </w:rPr>
              <w:t xml:space="preserve">The </w:t>
            </w:r>
            <w:r>
              <w:rPr>
                <w:rFonts w:ascii="Calibri" w:hAnsi="Calibri" w:cs="Calibri"/>
                <w:color w:val="FF0000"/>
                <w:shd w:val="clear" w:color="auto" w:fill="F4F9EB"/>
              </w:rPr>
            </w:r>
            <w:r>
              <w:rPr>
                <w:rFonts w:ascii="Calibri" w:hAnsi="Calibri" w:cs="Calibri"/>
                <w:color w:val="0D381F"/>
                <w:shd w:val="clear" w:color="auto" w:fill="F4F9EB"/>
              </w:rPr>
              <w:t>Group is strategically positioned to align its Green Building projects with national and regional policies, thus facilitating adher</w:t>
            </w:r>
            <w:r>
              <w:rPr>
                <w:rFonts w:ascii="Calibri" w:hAnsi="Calibri"/>
                <w:color w:val="0D381F"/>
              </w:rPr>
              <w:t>ence to the Sustainable Finance Framework. The Group’s projects, by adhering to rigorous standards, not only align with policies but potentially benefit from available governmental support, thus reinforcing their commitment to environmental performance and</w:t>
            </w:r>
            <w:r>
              <w:rPr>
                <w:rFonts w:ascii="Calibri" w:hAnsi="Calibri"/>
                <w:color w:val="0D381F"/>
              </w:rPr>
              <w:t xml:space="preserve"> sustainable development.</w:t>
            </w:r>
          </w:p>
        </w:tc>
        <w:tc>
          <w:tcPr>
            <w:tcW w:w="360" w:type="dxa"/>
            <w:shd w:val="clear" w:color="auto" w:fill="F4F9EB"/>
          </w:tcPr>
          <w:p w14:paraId="58B27891" w14:textId="77777777" w:rsidR="004F74DE" w:rsidRDefault="004F74DE"/>
          <w:p w14:paraId="51C82C97" w14:textId="77777777" w:rsidR="004F74DE" w:rsidRDefault="009A50DC">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5"/>
                          <a:stretch>
                            <a:fillRect/>
                          </a:stretch>
                        </pic:blipFill>
                        <pic:spPr>
                          <a:xfrm>
                            <a:off x="0" y="0"/>
                            <a:ext cx="604400" cy="604400"/>
                          </a:xfrm>
                          <a:prstGeom prst="rect">
                            <a:avLst/>
                          </a:prstGeom>
                        </pic:spPr>
                      </pic:pic>
                    </a:graphicData>
                  </a:graphic>
                </wp:inline>
              </w:drawing>
            </w:r>
          </w:p>
        </w:tc>
      </w:tr>
      <w:tr w:rsidR="004F74DE" w14:paraId="27CA99D6" w14:textId="77777777">
        <w:tc>
          <w:tcPr>
            <w:tcW w:w="8500" w:type="dxa"/>
            <w:shd w:val="clear" w:color="auto" w:fill="316729"/>
          </w:tcPr>
          <w:p w14:paraId="0D9F5E69" w14:textId="77777777" w:rsidR="004F74DE" w:rsidRDefault="009A50DC">
            <w:r>
              <w:rPr>
                <w:rFonts w:ascii="Calibri" w:hAnsi="Calibri" w:cs="Calibri"/>
                <w:b/>
                <w:color w:val="FFFFFF"/>
                <w:sz w:val="30"/>
                <w:szCs w:val="30"/>
              </w:rPr>
              <w:t>Affordable Housing</w:t>
            </w:r>
          </w:p>
        </w:tc>
        <w:tc>
          <w:tcPr>
            <w:tcW w:w="2000" w:type="dxa"/>
            <w:shd w:val="clear" w:color="auto" w:fill="316729"/>
          </w:tcPr>
          <w:p w14:paraId="35F58A62" w14:textId="77777777" w:rsidR="004F74DE" w:rsidRDefault="004F74DE"/>
        </w:tc>
      </w:tr>
      <w:tr w:rsidR="004F74DE" w14:paraId="5B9231FB" w14:textId="77777777">
        <w:tc>
          <w:tcPr>
            <w:tcW w:w="360" w:type="dxa"/>
            <w:shd w:val="clear" w:color="auto" w:fill="F4F9EB"/>
          </w:tcPr>
          <w:p w14:paraId="227C5E1E" w14:textId="77777777" w:rsidR="004F74DE" w:rsidRDefault="009A50DC">
            <w:pPr>
              <w:numPr>
                <w:ilvl w:val="0"/>
                <w:numId w:val="2"/>
              </w:numPr>
              <w:jc w:val="both"/>
            </w:pPr>
            <w:r>
              <w:rPr>
                <w:rFonts w:ascii="Calibri" w:hAnsi="Calibri" w:cs="Calibri"/>
                <w:color w:val="0D381F"/>
                <w:shd w:val="clear" w:color="auto" w:fill="F4F9EB"/>
              </w:rPr>
              <w:t xml:space="preserve">In urban development, particularly affordable housing under Pingdu City Development </w:t>
            </w:r>
            <w:r>
              <w:rPr>
                <w:rFonts w:ascii="Calibri" w:hAnsi="Calibri" w:cs="Calibri"/>
                <w:color w:val="FF0000"/>
                <w:shd w:val="clear" w:color="auto" w:fill="F4F9EB"/>
              </w:rPr>
            </w:r>
            <w:r>
              <w:rPr>
                <w:rFonts w:ascii="Calibri" w:hAnsi="Calibri" w:cs="Calibri"/>
                <w:color w:val="0D381F"/>
                <w:shd w:val="clear" w:color="auto" w:fill="F4F9EB"/>
              </w:rPr>
              <w:t xml:space="preserve">Group Co., Ltd., significant environmental challenges are linked to inefficient energy use and lack of </w:t>
            </w:r>
            <w:r>
              <w:rPr>
                <w:rFonts w:ascii="Calibri" w:hAnsi="Calibri" w:cs="Calibri"/>
                <w:color w:val="0D381F"/>
                <w:shd w:val="clear" w:color="auto" w:fill="F4F9EB"/>
              </w:rPr>
              <w:t>sustainable practices. The infrastructure fails modern energy standards, increasing carbon emissions and hindering carbon neutrality, a key goal in global frameworks like the UN SDGs, especially SDG 11 for sustainable cities. Achieving carbon neutrality re</w:t>
            </w:r>
            <w:r>
              <w:rPr>
                <w:rFonts w:ascii="Calibri" w:hAnsi="Calibri"/>
                <w:color w:val="0D381F"/>
              </w:rPr>
              <w:t xml:space="preserve">quires overhauling infrastructure with energy-efficient methods and renewable energy. Despite challenges, aligning with protocols like the Social Bond Principles and integrating innovative technologies and policies could make sustainable urban development </w:t>
            </w:r>
            <w:r>
              <w:rPr>
                <w:rFonts w:ascii="Calibri" w:hAnsi="Calibri"/>
                <w:color w:val="0D381F"/>
              </w:rPr>
              <w:t>attainable, addressing environmental, social, and economic benefits.</w:t>
            </w:r>
          </w:p>
          <w:p w14:paraId="1833614B" w14:textId="77777777" w:rsidR="004F74DE" w:rsidRDefault="009A50DC">
            <w:pPr>
              <w:numPr>
                <w:ilvl w:val="0"/>
                <w:numId w:val="2"/>
              </w:numPr>
              <w:jc w:val="both"/>
            </w:pPr>
            <w:r>
              <w:rPr>
                <w:rFonts w:ascii="Calibri" w:hAnsi="Calibri" w:cs="Calibri"/>
                <w:color w:val="0D381F"/>
                <w:shd w:val="clear" w:color="auto" w:fill="F4F9EB"/>
              </w:rPr>
              <w:t xml:space="preserve">Affordable housing projects by entities like the </w:t>
            </w:r>
            <w:r>
              <w:rPr>
                <w:rFonts w:ascii="Calibri" w:hAnsi="Calibri" w:cs="Calibri"/>
                <w:color w:val="FF0000"/>
                <w:shd w:val="clear" w:color="auto" w:fill="F4F9EB"/>
              </w:rPr>
            </w:r>
            <w:r>
              <w:rPr>
                <w:rFonts w:ascii="Calibri" w:hAnsi="Calibri" w:cs="Calibri"/>
                <w:color w:val="0D381F"/>
                <w:shd w:val="clear" w:color="auto" w:fill="F4F9EB"/>
              </w:rPr>
              <w:t>Group show significant environmental benefits. By adhering to green building certifications and international standards, these projects re</w:t>
            </w:r>
            <w:r>
              <w:rPr>
                <w:rFonts w:ascii="Calibri" w:hAnsi="Calibri"/>
                <w:color w:val="0D381F"/>
              </w:rPr>
              <w:t>duce energy consumption and greenhouse gas emissions. Case studies demonstrate that sustainable waste management and green spaces enhance urban biodiversity and resilience. Renewable energy technologies further these benefits by promoting energy autonomy a</w:t>
            </w:r>
            <w:r>
              <w:rPr>
                <w:rFonts w:ascii="Calibri" w:hAnsi="Calibri"/>
                <w:color w:val="0D381F"/>
              </w:rPr>
              <w:t>nd reducing fossil fuel dependence. These initiatives improve inhabitants’ quality of life and support broader environmental goals, making affordable housing key to sustainable urban development.</w:t>
            </w:r>
          </w:p>
          <w:p w14:paraId="06283D29" w14:textId="77777777" w:rsidR="004F74DE" w:rsidRDefault="009A50DC">
            <w:pPr>
              <w:numPr>
                <w:ilvl w:val="0"/>
                <w:numId w:val="2"/>
              </w:numPr>
              <w:jc w:val="both"/>
            </w:pPr>
            <w:r>
              <w:rPr>
                <w:rFonts w:ascii="Calibri" w:hAnsi="Calibri" w:cs="Calibri"/>
                <w:color w:val="0D381F"/>
                <w:shd w:val="clear" w:color="auto" w:fill="F4F9EB"/>
              </w:rPr>
              <w:t xml:space="preserve">The </w:t>
            </w:r>
            <w:r>
              <w:rPr>
                <w:rFonts w:ascii="Calibri" w:hAnsi="Calibri" w:cs="Calibri"/>
                <w:color w:val="FF0000"/>
                <w:shd w:val="clear" w:color="auto" w:fill="F4F9EB"/>
              </w:rPr>
            </w:r>
            <w:r>
              <w:rPr>
                <w:rFonts w:ascii="Calibri" w:hAnsi="Calibri" w:cs="Calibri"/>
                <w:color w:val="0D381F"/>
                <w:shd w:val="clear" w:color="auto" w:fill="F4F9EB"/>
              </w:rPr>
              <w:t xml:space="preserve">Group aligns with national affordable housing policies, </w:t>
            </w:r>
            <w:r>
              <w:rPr>
                <w:rFonts w:ascii="Calibri" w:hAnsi="Calibri"/>
                <w:color w:val="0D381F"/>
              </w:rPr>
              <w:t>focusing on low-cost housing construction and operation. This supports China’s policy to boost affordable rental housing by improving land availability and streamlining approvals. The emphasis on government-subsidized rental housing complements the Group’s</w:t>
            </w:r>
            <w:r>
              <w:rPr>
                <w:rFonts w:ascii="Calibri" w:hAnsi="Calibri"/>
                <w:color w:val="0D381F"/>
              </w:rPr>
              <w:t xml:space="preserve"> efforts under the Sustainable Finance Framework, contributing to the national agenda of stabilizing the housing market and enhancing ESG performance.</w:t>
            </w:r>
          </w:p>
        </w:tc>
        <w:tc>
          <w:tcPr>
            <w:tcW w:w="360" w:type="dxa"/>
            <w:shd w:val="clear" w:color="auto" w:fill="F4F9EB"/>
          </w:tcPr>
          <w:p w14:paraId="50BF093D" w14:textId="77777777" w:rsidR="004F74DE" w:rsidRDefault="004F74DE"/>
          <w:p w14:paraId="4BD23D9B" w14:textId="77777777" w:rsidR="004F74DE" w:rsidRDefault="009A50DC">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6"/>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lastRenderedPageBreak/>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12945FC0" w14:textId="77777777" w:rsidR="004F74DE" w:rsidRDefault="009A50DC">
      <w:pPr>
        <w:spacing w:beforeLines="50" w:before="163" w:after="160"/>
        <w:jc w:val="both"/>
      </w:pPr>
      <w:r>
        <w:rPr>
          <w:rFonts w:ascii="Calibri" w:hAnsi="Calibri" w:cs="Calibri"/>
        </w:rPr>
        <w:t xml:space="preserve">The </w:t>
      </w:r>
      <w:r>
        <w:rPr>
          <w:rFonts w:ascii="Calibri" w:hAnsi="Calibri" w:cs="Calibri"/>
          <w:color w:val="FF0000"/>
        </w:rPr>
      </w:r>
      <w:r>
        <w:rPr>
          <w:rFonts w:ascii="Calibri" w:hAnsi="Calibri"/>
        </w:rPr>
        <w:t xml:space="preserve">Group has adopted environmental and social risk management measures to ensure compliance with national laws and </w:t>
      </w:r>
      <w:r>
        <w:rPr>
          <w:rFonts w:ascii="Calibri" w:hAnsi="Calibri"/>
        </w:rPr>
        <w:t>regulations on sustainable development governing air and gas pollution, noise emissions, hazardous substances, water and waste discharge, etc.</w:t>
      </w:r>
    </w:p>
    <w:p w14:paraId="6129FC00" w14:textId="77777777" w:rsidR="004F74DE" w:rsidRDefault="009A50DC">
      <w:pPr>
        <w:spacing w:beforeLines="50" w:before="163" w:after="160"/>
        <w:jc w:val="both"/>
      </w:pPr>
      <w:r>
        <w:rPr>
          <w:rFonts w:ascii="Calibri" w:hAnsi="Calibri" w:cs="Calibri"/>
        </w:rPr>
        <w:t>As the basis for investment decision-making, feasibility study report is a necessary requirement in project inves</w:t>
      </w:r>
      <w:r>
        <w:rPr>
          <w:rFonts w:ascii="Calibri" w:hAnsi="Calibri" w:cs="Calibri"/>
        </w:rPr>
        <w:t xml:space="preserve">tment and is usually conducted by the third-party agent or professional consultant team in the evaluation and selection process. Based on the feasibility reports, the </w:t>
      </w:r>
      <w:r>
        <w:rPr>
          <w:rFonts w:ascii="Calibri" w:hAnsi="Calibri" w:cs="Calibri"/>
          <w:color w:val="FF0000"/>
        </w:rPr>
      </w:r>
      <w:r>
        <w:rPr>
          <w:rFonts w:ascii="Calibri" w:hAnsi="Calibri"/>
        </w:rPr>
        <w:t>Group can identify and assess the environmental risks or social risks related to the elig</w:t>
      </w:r>
      <w:r>
        <w:rPr>
          <w:rFonts w:ascii="Calibri" w:hAnsi="Calibri"/>
        </w:rPr>
        <w:t>ible projects.</w:t>
      </w:r>
    </w:p>
    <w:p w14:paraId="22B56F22" w14:textId="77777777" w:rsidR="004F74DE" w:rsidRDefault="009A50DC">
      <w:pPr>
        <w:spacing w:beforeLines="50" w:before="163" w:after="160"/>
        <w:jc w:val="both"/>
      </w:pPr>
      <w:r>
        <w:rPr>
          <w:rFonts w:ascii="Calibri" w:hAnsi="Calibri" w:cs="Calibri"/>
        </w:rPr>
        <w:t xml:space="preserve">The environmental and social assessments will be conducted before the investment of each operation project to help the </w:t>
      </w:r>
      <w:r>
        <w:rPr>
          <w:rFonts w:ascii="Calibri" w:hAnsi="Calibri" w:cs="Calibri"/>
          <w:color w:val="FF0000"/>
        </w:rPr>
      </w:r>
      <w:r>
        <w:rPr>
          <w:rFonts w:ascii="Calibri" w:hAnsi="Calibri"/>
        </w:rPr>
        <w:t>Group identify and manage the sustainability-related risks. It is recommended that the Group continuously monitors for sig</w:t>
      </w:r>
      <w:r>
        <w:rPr>
          <w:rFonts w:ascii="Calibri" w:hAnsi="Calibri"/>
        </w:rPr>
        <w:t>nificant environmental and/or social risks throughout the construction and operational process of the financed projects in addition to checking feasibility study 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25752ABE" w14:textId="77777777" w:rsidR="004F74DE" w:rsidRDefault="009A50DC">
      <w:pPr>
        <w:spacing w:beforeLines="50" w:before="163" w:after="160"/>
        <w:jc w:val="both"/>
      </w:pPr>
      <w:r>
        <w:rPr>
          <w:rFonts w:ascii="Calibri" w:hAnsi="Calibri" w:cs="Calibri"/>
        </w:rPr>
        <w:t>The eligible proje</w:t>
      </w:r>
      <w:r>
        <w:rPr>
          <w:rFonts w:ascii="Calibri" w:hAnsi="Calibri" w:cs="Calibri"/>
        </w:rPr>
        <w:t xml:space="preserve">cts included in the Framework are mainly realized through the construction and maintenance of sustainable water systems and buildings programs. Generally, the </w:t>
      </w:r>
      <w:r>
        <w:rPr>
          <w:rFonts w:ascii="Calibri" w:hAnsi="Calibri" w:cs="Calibri"/>
          <w:color w:val="FF0000"/>
        </w:rPr>
      </w:r>
      <w:r>
        <w:rPr>
          <w:rFonts w:ascii="Calibri" w:hAnsi="Calibri"/>
        </w:rPr>
        <w:t>Group has identified potential negative environmental impacts during both the construction and op</w:t>
      </w:r>
      <w:r>
        <w:rPr>
          <w:rFonts w:ascii="Calibri" w:hAnsi="Calibri"/>
        </w:rPr>
        <w:t>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4F74DE" w14:paraId="635C633F" w14:textId="77777777">
        <w:tc>
          <w:tcPr>
            <w:tcW w:w="2088" w:type="dxa"/>
            <w:shd w:val="clear" w:color="auto" w:fill="316729"/>
            <w:vAlign w:val="center"/>
          </w:tcPr>
          <w:p w14:paraId="1AF58821" w14:textId="77777777" w:rsidR="004F74DE" w:rsidRDefault="004F74DE">
            <w:pPr>
              <w:jc w:val="center"/>
            </w:pPr>
          </w:p>
        </w:tc>
        <w:tc>
          <w:tcPr>
            <w:tcW w:w="2088" w:type="dxa"/>
            <w:shd w:val="clear" w:color="auto" w:fill="316729"/>
            <w:vAlign w:val="center"/>
          </w:tcPr>
          <w:p w14:paraId="587409F1" w14:textId="77777777" w:rsidR="004F74DE" w:rsidRDefault="009A50DC">
            <w:pPr>
              <w:jc w:val="center"/>
            </w:pPr>
            <w:r>
              <w:rPr>
                <w:rFonts w:ascii="Calibri" w:hAnsi="Calibri" w:cs="Calibri"/>
                <w:b/>
                <w:color w:val="FFFFFF"/>
              </w:rPr>
              <w:t>Water</w:t>
            </w:r>
          </w:p>
        </w:tc>
        <w:tc>
          <w:tcPr>
            <w:tcW w:w="2088" w:type="dxa"/>
            <w:shd w:val="clear" w:color="auto" w:fill="316729"/>
            <w:vAlign w:val="center"/>
          </w:tcPr>
          <w:p w14:paraId="76AE45FA" w14:textId="77777777" w:rsidR="004F74DE" w:rsidRDefault="009A50DC">
            <w:pPr>
              <w:jc w:val="center"/>
            </w:pPr>
            <w:r>
              <w:rPr>
                <w:rFonts w:ascii="Calibri" w:hAnsi="Calibri" w:cs="Calibri"/>
                <w:b/>
                <w:color w:val="FFFFFF"/>
              </w:rPr>
              <w:t>Wastes</w:t>
            </w:r>
          </w:p>
        </w:tc>
        <w:tc>
          <w:tcPr>
            <w:tcW w:w="2088" w:type="dxa"/>
            <w:shd w:val="clear" w:color="auto" w:fill="316729"/>
            <w:vAlign w:val="center"/>
          </w:tcPr>
          <w:p w14:paraId="16BF8973" w14:textId="77777777" w:rsidR="004F74DE" w:rsidRDefault="009A50DC">
            <w:pPr>
              <w:jc w:val="center"/>
            </w:pPr>
            <w:r>
              <w:rPr>
                <w:rFonts w:ascii="Calibri" w:hAnsi="Calibri" w:cs="Calibri"/>
                <w:b/>
                <w:color w:val="FFFFFF"/>
              </w:rPr>
              <w:t>Noise</w:t>
            </w:r>
          </w:p>
        </w:tc>
        <w:tc>
          <w:tcPr>
            <w:tcW w:w="2088" w:type="dxa"/>
            <w:shd w:val="clear" w:color="auto" w:fill="316729"/>
            <w:vAlign w:val="center"/>
          </w:tcPr>
          <w:p w14:paraId="4D08BD8B" w14:textId="77777777" w:rsidR="004F74DE" w:rsidRDefault="009A50DC">
            <w:pPr>
              <w:jc w:val="center"/>
            </w:pPr>
            <w:r>
              <w:rPr>
                <w:rFonts w:ascii="Calibri" w:hAnsi="Calibri" w:cs="Calibri"/>
                <w:b/>
                <w:color w:val="FFFFFF"/>
              </w:rPr>
              <w:t>Air</w:t>
            </w:r>
          </w:p>
        </w:tc>
      </w:tr>
      <w:tr w:rsidR="004F74DE" w14:paraId="43FF9BC5" w14:textId="77777777">
        <w:tc>
          <w:tcPr>
            <w:tcW w:w="0" w:type="auto"/>
            <w:tcBorders>
              <w:bottom w:val="dotted" w:sz="3" w:space="0" w:color="275317"/>
            </w:tcBorders>
            <w:shd w:val="clear" w:color="auto" w:fill="F4F9EB"/>
            <w:vAlign w:val="center"/>
          </w:tcPr>
          <w:p w14:paraId="6A585B59" w14:textId="77777777" w:rsidR="004F74DE" w:rsidRDefault="009A50DC">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5AB56203" w14:textId="77777777" w:rsidR="004F74DE" w:rsidRDefault="009A50DC">
            <w:pPr>
              <w:numPr>
                <w:ilvl w:val="0"/>
                <w:numId w:val="2"/>
              </w:numPr>
              <w:ind w:left="240" w:hanging="300"/>
            </w:pPr>
            <w:r>
              <w:rPr>
                <w:rFonts w:ascii="Calibri" w:hAnsi="Calibri" w:cs="Calibri"/>
                <w:color w:val="0D381F"/>
                <w:shd w:val="clear" w:color="auto" w:fill="F4F9EB"/>
              </w:rPr>
              <w:t>Production wastewater</w:t>
            </w:r>
          </w:p>
          <w:p w14:paraId="7B7DF084" w14:textId="77777777" w:rsidR="004F74DE" w:rsidRDefault="009A50DC">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2980F995" w14:textId="77777777" w:rsidR="004F74DE" w:rsidRDefault="009A50DC">
            <w:pPr>
              <w:numPr>
                <w:ilvl w:val="0"/>
                <w:numId w:val="2"/>
              </w:numPr>
              <w:ind w:left="240" w:hanging="300"/>
            </w:pPr>
            <w:r>
              <w:rPr>
                <w:rFonts w:ascii="Calibri" w:hAnsi="Calibri" w:cs="Calibri"/>
                <w:color w:val="0D381F"/>
                <w:shd w:val="clear" w:color="auto" w:fill="F4F9EB"/>
              </w:rPr>
              <w:t>Construction waste</w:t>
            </w:r>
          </w:p>
          <w:p w14:paraId="53F385E5" w14:textId="77777777" w:rsidR="004F74DE" w:rsidRDefault="009A50DC">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406487F2" w14:textId="77777777" w:rsidR="004F74DE" w:rsidRDefault="009A50DC">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6BC01C03" w14:textId="77777777" w:rsidR="004F74DE" w:rsidRDefault="009A50DC">
            <w:pPr>
              <w:numPr>
                <w:ilvl w:val="0"/>
                <w:numId w:val="2"/>
              </w:numPr>
              <w:ind w:left="240" w:hanging="300"/>
            </w:pPr>
            <w:r>
              <w:rPr>
                <w:rFonts w:ascii="Calibri" w:hAnsi="Calibri" w:cs="Calibri"/>
                <w:color w:val="0D381F"/>
                <w:shd w:val="clear" w:color="auto" w:fill="F4F9EB"/>
              </w:rPr>
              <w:t xml:space="preserve">Dust from land </w:t>
            </w:r>
            <w:r>
              <w:rPr>
                <w:rFonts w:ascii="Calibri" w:hAnsi="Calibri" w:cs="Calibri"/>
                <w:color w:val="0D381F"/>
                <w:shd w:val="clear" w:color="auto" w:fill="F4F9EB"/>
              </w:rPr>
              <w:t>levelling, excavation, transportation, and the accumulation of soil</w:t>
            </w:r>
          </w:p>
        </w:tc>
      </w:tr>
      <w:tr w:rsidR="004F74DE" w14:paraId="6F20A09A" w14:textId="77777777">
        <w:tc>
          <w:tcPr>
            <w:tcW w:w="0" w:type="auto"/>
            <w:shd w:val="clear" w:color="auto" w:fill="F4F9EB"/>
            <w:vAlign w:val="center"/>
          </w:tcPr>
          <w:p w14:paraId="4007B7FF" w14:textId="77777777" w:rsidR="004F74DE" w:rsidRDefault="009A50DC">
            <w:r>
              <w:rPr>
                <w:rFonts w:ascii="Calibri" w:hAnsi="Calibri" w:cs="Calibri"/>
                <w:b/>
                <w:color w:val="000000"/>
              </w:rPr>
              <w:t>Operation Process</w:t>
            </w:r>
          </w:p>
        </w:tc>
        <w:tc>
          <w:tcPr>
            <w:tcW w:w="0" w:type="auto"/>
            <w:shd w:val="clear" w:color="auto" w:fill="F4F9EB"/>
            <w:vAlign w:val="center"/>
          </w:tcPr>
          <w:p w14:paraId="032A8CE7" w14:textId="77777777" w:rsidR="004F74DE" w:rsidRDefault="009A50DC">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126C368A" w14:textId="77777777" w:rsidR="004F74DE" w:rsidRDefault="009A50DC">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5C74FD96" w14:textId="77777777" w:rsidR="004F74DE" w:rsidRDefault="009A50DC">
            <w:pPr>
              <w:numPr>
                <w:ilvl w:val="0"/>
                <w:numId w:val="2"/>
              </w:numPr>
              <w:ind w:left="240" w:hanging="300"/>
            </w:pPr>
            <w:r>
              <w:rPr>
                <w:rFonts w:ascii="Calibri" w:hAnsi="Calibri" w:cs="Calibri"/>
                <w:color w:val="0D381F"/>
                <w:shd w:val="clear" w:color="auto" w:fill="F4F9EB"/>
              </w:rPr>
              <w:t>Machine Transportation</w:t>
            </w:r>
          </w:p>
        </w:tc>
        <w:tc>
          <w:tcPr>
            <w:tcW w:w="0" w:type="auto"/>
            <w:shd w:val="clear" w:color="auto" w:fill="F4F9EB"/>
            <w:vAlign w:val="center"/>
          </w:tcPr>
          <w:p w14:paraId="0F314FD8" w14:textId="77777777" w:rsidR="004F74DE" w:rsidRDefault="009A50DC">
            <w:pPr>
              <w:numPr>
                <w:ilvl w:val="0"/>
                <w:numId w:val="2"/>
              </w:numPr>
              <w:ind w:left="240" w:hanging="300"/>
            </w:pPr>
            <w:r>
              <w:rPr>
                <w:rFonts w:ascii="Calibri" w:hAnsi="Calibri" w:cs="Calibri"/>
                <w:color w:val="0D381F"/>
                <w:shd w:val="clear" w:color="auto" w:fill="F4F9EB"/>
              </w:rPr>
              <w:t>Exhaust emissions</w:t>
            </w:r>
          </w:p>
          <w:p w14:paraId="71D0B79B" w14:textId="77777777" w:rsidR="004F74DE" w:rsidRDefault="009A50DC">
            <w:pPr>
              <w:numPr>
                <w:ilvl w:val="0"/>
                <w:numId w:val="2"/>
              </w:numPr>
              <w:ind w:left="240" w:hanging="300"/>
            </w:pPr>
            <w:r>
              <w:rPr>
                <w:rFonts w:ascii="Calibri" w:hAnsi="Calibri" w:cs="Calibri"/>
                <w:color w:val="0D381F"/>
                <w:shd w:val="clear" w:color="auto" w:fill="F4F9EB"/>
              </w:rPr>
              <w:t>Dust from 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611"/>
        <w:gridCol w:w="8829"/>
      </w:tblGrid>
      <w:tr w:rsidR="004F74DE" w14:paraId="366F9675" w14:textId="77777777">
        <w:tc>
          <w:tcPr>
            <w:tcW w:w="1600" w:type="dxa"/>
            <w:shd w:val="clear" w:color="auto" w:fill="316729"/>
            <w:vAlign w:val="center"/>
          </w:tcPr>
          <w:p w14:paraId="51BE3858" w14:textId="77777777" w:rsidR="004F74DE" w:rsidRDefault="004F74DE">
            <w:pPr>
              <w:jc w:val="center"/>
            </w:pPr>
          </w:p>
        </w:tc>
        <w:tc>
          <w:tcPr>
            <w:tcW w:w="8768" w:type="dxa"/>
            <w:shd w:val="clear" w:color="auto" w:fill="316729"/>
            <w:vAlign w:val="center"/>
          </w:tcPr>
          <w:p w14:paraId="09846050" w14:textId="77777777" w:rsidR="004F74DE" w:rsidRDefault="009A50DC">
            <w:pPr>
              <w:jc w:val="center"/>
            </w:pPr>
            <w:r>
              <w:rPr>
                <w:rFonts w:ascii="Calibri" w:hAnsi="Calibri" w:cs="Calibri"/>
                <w:b/>
                <w:color w:val="FFFFFF"/>
              </w:rPr>
              <w:t>Project-specific lmpact</w:t>
            </w:r>
          </w:p>
        </w:tc>
      </w:tr>
      <w:tr w:rsidR="004F74DE" w14:paraId="2D919E51" w14:textId="77777777">
        <w:tc>
          <w:tcPr>
            <w:tcW w:w="1600" w:type="dxa"/>
            <w:shd w:val="clear" w:color="auto" w:fill="F4F9EB"/>
            <w:vAlign w:val="center"/>
          </w:tcPr>
          <w:p w14:paraId="71EBE596" w14:textId="77777777" w:rsidR="004F74DE" w:rsidRDefault="009A50DC">
            <w:r>
              <w:rPr>
                <w:rFonts w:ascii="Calibri" w:hAnsi="Calibri" w:cs="Calibri"/>
                <w:b/>
                <w:color w:val="000000"/>
              </w:rPr>
              <w:t xml:space="preserve">Sustainable Water and Wastewater </w:t>
            </w:r>
            <w:r>
              <w:rPr>
                <w:rFonts w:ascii="Calibri" w:hAnsi="Calibri" w:cs="Calibri"/>
                <w:b/>
                <w:color w:val="000000"/>
              </w:rPr>
              <w:t>Management</w:t>
            </w:r>
          </w:p>
        </w:tc>
        <w:tc>
          <w:tcPr>
            <w:tcW w:w="1600" w:type="dxa"/>
            <w:shd w:val="clear" w:color="auto" w:fill="F4F9EB"/>
            <w:vAlign w:val="center"/>
          </w:tcPr>
          <w:p w14:paraId="01D39898" w14:textId="77777777" w:rsidR="004F74DE" w:rsidRDefault="009A50DC">
            <w:pPr>
              <w:numPr>
                <w:ilvl w:val="0"/>
                <w:numId w:val="2"/>
              </w:numPr>
              <w:ind w:left="240" w:hanging="300"/>
            </w:pPr>
            <w:r>
              <w:rPr>
                <w:rFonts w:ascii="Calibri" w:hAnsi="Calibri" w:cs="Calibri"/>
                <w:color w:val="0D381F"/>
                <w:shd w:val="clear" w:color="auto" w:fill="F4F9EB"/>
              </w:rPr>
              <w:t>xxx</w:t>
            </w:r>
          </w:p>
        </w:tc>
      </w:tr>
    </w:tbl>
    <w:p w14:paraId="46734B84" w14:textId="4907F889" w:rsidR="004F74DE" w:rsidRDefault="009A50DC">
      <w:pPr>
        <w:spacing w:beforeLines="50" w:before="163" w:after="160"/>
        <w:jc w:val="both"/>
      </w:pPr>
      <w:r>
        <w:rPr>
          <w:rFonts w:ascii="Calibri" w:hAnsi="Calibri" w:cs="Calibri"/>
        </w:rPr>
        <w:t xml:space="preserve">The </w:t>
      </w:r>
      <w:r w:rsidR="0099111B">
        <w:rPr>
          <w:rFonts w:ascii="Calibri" w:hAnsi="Calibri" w:cs="Calibri"/>
          <w:color w:val="FF0000"/>
        </w:rPr>
      </w:r>
      <w:r>
        <w:rPr>
          <w:rFonts w:ascii="Calibri" w:hAnsi="Calibri" w:cs="Calibri"/>
        </w:rPr>
        <w:t>Group</w:t>
      </w:r>
      <w:r>
        <w:rPr>
          <w:rFonts w:ascii="Calibri" w:hAnsi="Calibri"/>
        </w:rPr>
        <w:t xml:space="preserve"> has committed to controlling the environmental risks by doing environmental impact assessments and taking 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5024D960" w14:textId="77777777" w:rsidR="004F74DE" w:rsidRDefault="009A50DC">
      <w:pPr>
        <w:spacing w:beforeLines="50" w:before="163" w:after="160"/>
        <w:jc w:val="both"/>
      </w:pPr>
      <w:r>
        <w:rPr>
          <w:rFonts w:ascii="Calibri" w:hAnsi="Calibri" w:cs="Calibri"/>
        </w:rPr>
        <w:lastRenderedPageBreak/>
        <w:t>Social risks related to mentioned eligible proj</w:t>
      </w:r>
      <w:r>
        <w:rPr>
          <w:rFonts w:ascii="Calibri" w:hAnsi="Calibri" w:cs="Calibri"/>
        </w:rPr>
        <w:t>ects are expected to remain at a low level. In particular, the eligible projects would neither have negative impacts on cultures, living habits, employment nor the income of surrounding people. The eligible projects in Pingdu City are expected to improve u</w:t>
      </w:r>
      <w:r>
        <w:rPr>
          <w:rFonts w:ascii="Calibri" w:hAnsi="Calibri" w:cs="Calibri"/>
        </w:rPr>
        <w:t>rban infrastructure, enhance water management, and promote sustainable living environments.</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w:t>
            </w:r>
            <w:r>
              <w:rPr>
                <w:rFonts w:ascii="Calibri" w:hAnsi="Calibri"/>
                <w:b/>
                <w:color w:val="FF0000"/>
              </w:rPr>
            </w:r>
            <w:r>
              <w:rPr>
                <w:rFonts w:ascii="Calibri" w:hAnsi="Calibri"/>
                <w:b/>
                <w:color w:val="1B4314"/>
              </w:rPr>
              <w:t>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r>
      <w:r>
        <w:rPr>
          <w:rFonts w:ascii="Calibri" w:hAnsi="Calibri" w:cs="Calibri"/>
          <w:color w:val="FF0000"/>
        </w:rPr>
        <w:t>[13-1]</w:t>
      </w:r>
      <w:proofErr w:type="spellStart"/>
      <w:r>
        <w:rPr>
          <w:rFonts w:ascii="Calibri" w:hAnsi="Calibri" w:cs="Calibri"/>
        </w:rPr>
        <w:t>Green Finance International L</w:t>
      </w:r>
      <w:proofErr w:type="spellEnd"/>
      <w:r>
        <w:rPr>
          <w:rFonts w:ascii="Calibri" w:hAnsi="Calibri" w:cs="Calibri" w:hint="eastAsia"/>
        </w:rPr>
        <w:t>imited</w:t>
      </w:r>
      <w:r>
        <w:rPr>
          <w:rFonts w:ascii="Calibri" w:hAnsi="Calibri" w:cs="Calibri"/>
        </w:rPr>
        <w:t xml:space="preserve"> (CCXGFI) is a third-party service organization under China </w:t>
      </w:r>
      <w:r>
        <w:rPr>
          <w:rFonts w:ascii="Calibri" w:hAnsi="Calibri" w:cs="Calibri" w:hint="eastAsia"/>
        </w:rPr>
        <w:t>Chengxin</w:t>
      </w:r>
      <w:r>
        <w:rPr>
          <w:rFonts w:ascii="Calibri" w:hAnsi="Calibri" w:cs="Calibri"/>
        </w:rPr>
        <w:t xml:space="preserve"> International</w:t>
      </w:r>
      <w:r>
        <w:rPr>
          <w:rFonts w:ascii="Calibri" w:hAnsi="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114E51C8" w14:textId="263F9A86" w:rsidR="00723570" w:rsidRDefault="00692F67" w:rsidP="00DD7ED6">
      <w:pPr>
        <w:widowControl w:val="0"/>
        <w:spacing w:beforeLines="50" w:before="163" w:after="160"/>
        <w:jc w:val="both"/>
        <w:rPr>
          <w:rFonts w:ascii="Calibri" w:hAnsi="Calibri" w:cs="Calibri"/>
        </w:rPr>
      </w:pPr>
      <w:r>
        <w:rPr>
          <w:rFonts w:ascii="Calibri" w:hAnsi="Calibri"/>
          <w:color w:val="000000"/>
        </w:rPr>
        <w:t>The following outlines the associations and standards applied in the assessment process. To enhance robustness, CCX</w:t>
      </w:r>
      <w:r>
        <w:rPr>
          <w:rFonts w:ascii="Calibri" w:hAnsi="Calibri"/>
          <w:color w:val="FF0000"/>
        </w:rPr>
      </w:r>
      <w:r>
        <w:rPr>
          <w:rFonts w:ascii="Calibri" w:hAnsi="Calibri"/>
          <w:color w:val="FF0000"/>
        </w:rPr>
        <w:t>[9-1]</w:t>
      </w:r>
      <w:r>
        <w:rPr>
          <w:rFonts w:ascii="Calibri" w:hAnsi="Calibri"/>
          <w:color w:val="000000"/>
        </w:rPr>
        <w:t>GFI</w:t>
      </w:r>
      <w:r>
        <w:rPr>
          <w:rFonts w:ascii="Calibri" w:hAnsi="Calibri"/>
          <w:color w:val="000000"/>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4F74DE" w14:paraId="3B52337E" w14:textId="77777777">
        <w:tc>
          <w:tcPr>
            <w:tcW w:w="6840" w:type="dxa"/>
            <w:shd w:val="clear" w:color="auto" w:fill="316729"/>
            <w:vAlign w:val="center"/>
          </w:tcPr>
          <w:p w14:paraId="30B40A39" w14:textId="77777777" w:rsidR="004F74DE" w:rsidRDefault="009A50DC">
            <w:pPr>
              <w:jc w:val="center"/>
            </w:pPr>
            <w:r>
              <w:rPr>
                <w:rFonts w:ascii="Calibri" w:hAnsi="Calibri" w:cs="Calibri"/>
                <w:b/>
                <w:color w:val="FFFFFF"/>
              </w:rPr>
              <w:t>Association</w:t>
            </w:r>
          </w:p>
        </w:tc>
        <w:tc>
          <w:tcPr>
            <w:tcW w:w="4600" w:type="dxa"/>
            <w:shd w:val="clear" w:color="auto" w:fill="316729"/>
            <w:vAlign w:val="center"/>
          </w:tcPr>
          <w:p w14:paraId="05F8F817" w14:textId="77777777" w:rsidR="004F74DE" w:rsidRDefault="009A50DC">
            <w:pPr>
              <w:jc w:val="center"/>
            </w:pPr>
            <w:r>
              <w:rPr>
                <w:rFonts w:ascii="Calibri" w:hAnsi="Calibri" w:cs="Calibri"/>
                <w:b/>
                <w:color w:val="FFFFFF"/>
              </w:rPr>
              <w:t>Standard</w:t>
            </w:r>
          </w:p>
        </w:tc>
      </w:tr>
      <w:tr w:rsidR="004F74DE" w14:paraId="42934DD9" w14:textId="77777777">
        <w:tc>
          <w:tcPr>
            <w:tcW w:w="6440" w:type="dxa"/>
            <w:tcBorders>
              <w:bottom w:val="dotted" w:sz="3" w:space="0" w:color="275317"/>
            </w:tcBorders>
            <w:shd w:val="clear" w:color="auto" w:fill="F4F9EB"/>
            <w:vAlign w:val="center"/>
          </w:tcPr>
          <w:p w14:paraId="5B8E37E5" w14:textId="77777777" w:rsidR="004F74DE" w:rsidRDefault="009A50DC">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7A034533" w14:textId="77777777" w:rsidR="004F74DE" w:rsidRDefault="009A50DC">
            <w:pPr>
              <w:numPr>
                <w:ilvl w:val="0"/>
                <w:numId w:val="2"/>
              </w:numPr>
              <w:ind w:left="240" w:hanging="300"/>
              <w:jc w:val="both"/>
            </w:pPr>
            <w:r>
              <w:rPr>
                <w:rFonts w:ascii="Calibri" w:hAnsi="Calibri" w:cs="Calibri"/>
                <w:color w:val="0D381F"/>
                <w:shd w:val="clear" w:color="auto" w:fill="F4F9EB"/>
              </w:rPr>
              <w:t xml:space="preserve">Green Bond Principles (GBP) 2021 (with June 2022 </w:t>
            </w:r>
            <w:r>
              <w:rPr>
                <w:rFonts w:ascii="Calibri" w:hAnsi="Calibri" w:cs="Calibri"/>
                <w:color w:val="0D381F"/>
                <w:shd w:val="clear" w:color="auto" w:fill="F4F9EB"/>
              </w:rPr>
              <w:t>Appendix I)</w:t>
            </w:r>
          </w:p>
          <w:p w14:paraId="6A829CC7" w14:textId="77777777" w:rsidR="004F74DE" w:rsidRDefault="009A50DC">
            <w:pPr>
              <w:numPr>
                <w:ilvl w:val="0"/>
                <w:numId w:val="2"/>
              </w:numPr>
              <w:ind w:left="240" w:hanging="300"/>
              <w:jc w:val="both"/>
            </w:pPr>
            <w:r>
              <w:rPr>
                <w:rFonts w:ascii="Calibri" w:hAnsi="Calibri" w:cs="Calibri"/>
                <w:color w:val="0D381F"/>
                <w:shd w:val="clear" w:color="auto" w:fill="F4F9EB"/>
              </w:rPr>
              <w:t>Social Bond Principles (SBP) 2023</w:t>
            </w:r>
          </w:p>
          <w:p w14:paraId="2FC563D2" w14:textId="77777777" w:rsidR="004F74DE" w:rsidRDefault="009A50DC">
            <w:pPr>
              <w:numPr>
                <w:ilvl w:val="0"/>
                <w:numId w:val="2"/>
              </w:numPr>
              <w:ind w:left="240" w:hanging="300"/>
              <w:jc w:val="both"/>
            </w:pPr>
            <w:r>
              <w:rPr>
                <w:rFonts w:ascii="Calibri" w:hAnsi="Calibri" w:cs="Calibri"/>
                <w:color w:val="0D381F"/>
                <w:shd w:val="clear" w:color="auto" w:fill="F4F9EB"/>
              </w:rPr>
              <w:t>Sustainability Bond Guidelines (SBG) 2021</w:t>
            </w:r>
          </w:p>
        </w:tc>
      </w:tr>
      <w:tr w:rsidR="004F74DE" w14:paraId="6BE04632" w14:textId="77777777">
        <w:tc>
          <w:tcPr>
            <w:tcW w:w="6440" w:type="dxa"/>
            <w:tcBorders>
              <w:bottom w:val="dotted" w:sz="3" w:space="0" w:color="275317"/>
            </w:tcBorders>
            <w:shd w:val="clear" w:color="auto" w:fill="F4F9EB"/>
            <w:vAlign w:val="center"/>
          </w:tcPr>
          <w:p w14:paraId="281E6084" w14:textId="77777777" w:rsidR="004F74DE" w:rsidRDefault="009A50DC">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306963E6" w14:textId="77777777" w:rsidR="004F74DE" w:rsidRDefault="009A50DC">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562A2E05" w14:textId="77777777" w:rsidR="004F74DE" w:rsidRDefault="009A50DC">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2B3449E3" w14:textId="77777777" w:rsidR="004F74DE" w:rsidRDefault="009A50DC">
            <w:pPr>
              <w:numPr>
                <w:ilvl w:val="0"/>
                <w:numId w:val="2"/>
              </w:numPr>
              <w:ind w:left="240" w:hanging="300"/>
              <w:jc w:val="both"/>
            </w:pPr>
            <w:r>
              <w:rPr>
                <w:rFonts w:ascii="Calibri" w:hAnsi="Calibri" w:cs="Calibri"/>
                <w:color w:val="0D381F"/>
                <w:shd w:val="clear" w:color="auto" w:fill="F4F9EB"/>
              </w:rPr>
              <w:t>Social Loan Principles (SLP) 2023</w:t>
            </w:r>
          </w:p>
          <w:p w14:paraId="10035BAA" w14:textId="77777777" w:rsidR="004F74DE" w:rsidRDefault="009A50DC">
            <w:pPr>
              <w:numPr>
                <w:ilvl w:val="0"/>
                <w:numId w:val="2"/>
              </w:numPr>
              <w:ind w:left="240" w:hanging="300"/>
              <w:jc w:val="both"/>
            </w:pPr>
            <w:r>
              <w:rPr>
                <w:rFonts w:ascii="Calibri" w:hAnsi="Calibri" w:cs="Calibri"/>
                <w:color w:val="0D381F"/>
                <w:shd w:val="clear" w:color="auto" w:fill="F4F9EB"/>
              </w:rPr>
              <w:t>Green Loan Principles (GLP) 2023</w:t>
            </w:r>
          </w:p>
        </w:tc>
      </w:tr>
      <w:tr w:rsidR="004F74DE" w14:paraId="356A9B0E" w14:textId="77777777">
        <w:tc>
          <w:tcPr>
            <w:tcW w:w="6440" w:type="dxa"/>
            <w:shd w:val="clear" w:color="auto" w:fill="F4F9EB"/>
            <w:vAlign w:val="center"/>
          </w:tcPr>
          <w:p w14:paraId="15F1EA45" w14:textId="77777777" w:rsidR="004F74DE" w:rsidRDefault="009A50DC">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7CB52783" w14:textId="77777777" w:rsidR="004F74DE" w:rsidRDefault="009A50DC">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4CB9D39C" w14:textId="77777777" w:rsidR="004F74DE" w:rsidRDefault="009A50DC">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0FF7EDCD" w14:textId="77777777" w:rsidR="004F74DE" w:rsidRDefault="009A50DC">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50"/>
        <w:gridCol w:w="7290"/>
      </w:tblGrid>
      <w:tr w:rsidR="004F74DE" w14:paraId="5E591829" w14:textId="77777777">
        <w:tc>
          <w:tcPr>
            <w:tcW w:w="3600" w:type="dxa"/>
            <w:shd w:val="clear" w:color="auto" w:fill="316729"/>
            <w:vAlign w:val="center"/>
          </w:tcPr>
          <w:p w14:paraId="55CB29CC" w14:textId="77777777" w:rsidR="004F74DE" w:rsidRDefault="009A50DC">
            <w:pPr>
              <w:jc w:val="center"/>
            </w:pPr>
            <w:r>
              <w:rPr>
                <w:rFonts w:ascii="Calibri" w:hAnsi="Calibri" w:cs="Calibri"/>
                <w:b/>
                <w:color w:val="FFFFFF"/>
              </w:rPr>
              <w:t>Catalogue</w:t>
            </w:r>
          </w:p>
        </w:tc>
        <w:tc>
          <w:tcPr>
            <w:tcW w:w="7840" w:type="dxa"/>
            <w:shd w:val="clear" w:color="auto" w:fill="316729"/>
            <w:vAlign w:val="center"/>
          </w:tcPr>
          <w:p w14:paraId="6E0F5C69" w14:textId="77777777" w:rsidR="004F74DE" w:rsidRDefault="009A50DC">
            <w:pPr>
              <w:jc w:val="center"/>
            </w:pPr>
            <w:r>
              <w:rPr>
                <w:rFonts w:ascii="Calibri" w:hAnsi="Calibri" w:cs="Calibri"/>
                <w:b/>
                <w:color w:val="FFFFFF"/>
              </w:rPr>
              <w:t>Program</w:t>
            </w:r>
          </w:p>
        </w:tc>
      </w:tr>
      <w:tr w:rsidR="004F74DE" w14:paraId="68AE4B6E" w14:textId="77777777">
        <w:tc>
          <w:tcPr>
            <w:tcW w:w="2600" w:type="dxa"/>
            <w:tcBorders>
              <w:bottom w:val="dotted" w:sz="3" w:space="0" w:color="275317"/>
            </w:tcBorders>
            <w:shd w:val="clear" w:color="auto" w:fill="F4F9EB"/>
            <w:vAlign w:val="center"/>
          </w:tcPr>
          <w:p w14:paraId="1B00CC04" w14:textId="77777777" w:rsidR="004F74DE" w:rsidRDefault="009A50DC">
            <w:pPr>
              <w:numPr>
                <w:ilvl w:val="0"/>
                <w:numId w:val="2"/>
              </w:numPr>
              <w:ind w:left="240" w:hanging="300"/>
              <w:jc w:val="both"/>
            </w:pPr>
            <w:r>
              <w:rPr>
                <w:rFonts w:ascii="Calibri" w:hAnsi="Calibri" w:cs="Calibri"/>
                <w:b/>
                <w:color w:val="0D381F"/>
                <w:shd w:val="clear" w:color="auto" w:fill="F4F9EB"/>
              </w:rPr>
              <w:t xml:space="preserve">GBEPC2021 – </w:t>
            </w:r>
            <w:r>
              <w:rPr>
                <w:rFonts w:ascii="Calibri" w:hAnsi="Calibri" w:cs="Calibri"/>
                <w:b/>
                <w:color w:val="0D381F"/>
                <w:shd w:val="clear" w:color="auto" w:fill="F4F9EB"/>
              </w:rPr>
              <w:t>5.4.2.4</w:t>
            </w:r>
          </w:p>
        </w:tc>
        <w:tc>
          <w:tcPr>
            <w:tcW w:w="8840" w:type="dxa"/>
            <w:tcBorders>
              <w:bottom w:val="dotted" w:sz="3" w:space="0" w:color="275317"/>
            </w:tcBorders>
            <w:shd w:val="clear" w:color="auto" w:fill="F4F9EB"/>
            <w:vAlign w:val="center"/>
          </w:tcPr>
          <w:p w14:paraId="089F773E" w14:textId="77777777" w:rsidR="004F74DE" w:rsidRDefault="009A50DC">
            <w:pPr>
              <w:numPr>
                <w:ilvl w:val="0"/>
                <w:numId w:val="2"/>
              </w:numPr>
              <w:ind w:left="240" w:hanging="300"/>
              <w:jc w:val="both"/>
            </w:pPr>
            <w:r>
              <w:rPr>
                <w:rFonts w:ascii="Calibri" w:hAnsi="Calibri" w:cs="Calibri"/>
                <w:color w:val="0D381F"/>
                <w:shd w:val="clear" w:color="auto" w:fill="F4F9EB"/>
              </w:rPr>
              <w:t>Construction, Operation and Renovation of Up-to-standard Urban Drainage Facilities</w:t>
            </w:r>
          </w:p>
        </w:tc>
      </w:tr>
      <w:tr w:rsidR="004F74DE" w14:paraId="24716A7C" w14:textId="77777777">
        <w:tc>
          <w:tcPr>
            <w:tcW w:w="2600" w:type="dxa"/>
            <w:tcBorders>
              <w:bottom w:val="dotted" w:sz="3" w:space="0" w:color="275317"/>
            </w:tcBorders>
            <w:shd w:val="clear" w:color="auto" w:fill="F4F9EB"/>
            <w:vAlign w:val="center"/>
          </w:tcPr>
          <w:p w14:paraId="0190A6DD" w14:textId="77777777" w:rsidR="004F74DE" w:rsidRDefault="009A50DC">
            <w:pPr>
              <w:numPr>
                <w:ilvl w:val="0"/>
                <w:numId w:val="2"/>
              </w:numPr>
              <w:ind w:left="240" w:hanging="300"/>
              <w:jc w:val="both"/>
            </w:pPr>
            <w:r>
              <w:rPr>
                <w:rFonts w:ascii="Calibri" w:hAnsi="Calibri" w:cs="Calibri"/>
                <w:b/>
                <w:color w:val="0D381F"/>
                <w:shd w:val="clear" w:color="auto" w:fill="F4F9EB"/>
              </w:rPr>
              <w:t>GBEPC2021 – 5.4.2.5</w:t>
            </w:r>
          </w:p>
        </w:tc>
        <w:tc>
          <w:tcPr>
            <w:tcW w:w="8840" w:type="dxa"/>
            <w:tcBorders>
              <w:bottom w:val="dotted" w:sz="3" w:space="0" w:color="275317"/>
            </w:tcBorders>
            <w:shd w:val="clear" w:color="auto" w:fill="F4F9EB"/>
            <w:vAlign w:val="center"/>
          </w:tcPr>
          <w:p w14:paraId="255E0EFB" w14:textId="77777777" w:rsidR="004F74DE" w:rsidRDefault="009A50DC">
            <w:pPr>
              <w:numPr>
                <w:ilvl w:val="0"/>
                <w:numId w:val="2"/>
              </w:numPr>
              <w:ind w:left="240" w:hanging="300"/>
              <w:jc w:val="both"/>
            </w:pPr>
            <w:r>
              <w:rPr>
                <w:rFonts w:ascii="Calibri" w:hAnsi="Calibri" w:cs="Calibri"/>
                <w:color w:val="0D381F"/>
                <w:shd w:val="clear" w:color="auto" w:fill="F4F9EB"/>
              </w:rPr>
              <w:t>Restoration of the Natural Ecology of Urban Water Bodies</w:t>
            </w:r>
          </w:p>
        </w:tc>
      </w:tr>
      <w:tr w:rsidR="004F74DE" w14:paraId="754FBD75" w14:textId="77777777">
        <w:tc>
          <w:tcPr>
            <w:tcW w:w="2600" w:type="dxa"/>
            <w:tcBorders>
              <w:bottom w:val="dotted" w:sz="3" w:space="0" w:color="275317"/>
            </w:tcBorders>
            <w:shd w:val="clear" w:color="auto" w:fill="F4F9EB"/>
            <w:vAlign w:val="center"/>
          </w:tcPr>
          <w:p w14:paraId="2E0ED7F9" w14:textId="77777777" w:rsidR="004F74DE" w:rsidRDefault="009A50DC">
            <w:pPr>
              <w:numPr>
                <w:ilvl w:val="0"/>
                <w:numId w:val="2"/>
              </w:numPr>
              <w:ind w:left="240" w:hanging="300"/>
              <w:jc w:val="both"/>
            </w:pPr>
            <w:r>
              <w:rPr>
                <w:rFonts w:ascii="Calibri" w:hAnsi="Calibri" w:cs="Calibri"/>
                <w:b/>
                <w:color w:val="0D381F"/>
                <w:shd w:val="clear" w:color="auto" w:fill="F4F9EB"/>
              </w:rPr>
              <w:t>GBEPC2021 – 5.2.1.4</w:t>
            </w:r>
          </w:p>
        </w:tc>
        <w:tc>
          <w:tcPr>
            <w:tcW w:w="8840" w:type="dxa"/>
            <w:tcBorders>
              <w:bottom w:val="dotted" w:sz="3" w:space="0" w:color="275317"/>
            </w:tcBorders>
            <w:shd w:val="clear" w:color="auto" w:fill="F4F9EB"/>
            <w:vAlign w:val="center"/>
          </w:tcPr>
          <w:p w14:paraId="0A804124" w14:textId="77777777" w:rsidR="004F74DE" w:rsidRDefault="009A50DC">
            <w:pPr>
              <w:numPr>
                <w:ilvl w:val="0"/>
                <w:numId w:val="2"/>
              </w:numPr>
              <w:ind w:left="240" w:hanging="300"/>
              <w:jc w:val="both"/>
            </w:pPr>
            <w:r>
              <w:rPr>
                <w:rFonts w:ascii="Calibri" w:hAnsi="Calibri" w:cs="Calibri"/>
                <w:color w:val="0D381F"/>
                <w:shd w:val="clear" w:color="auto" w:fill="F4F9EB"/>
              </w:rPr>
              <w:t>Prefabricated Buildings</w:t>
            </w:r>
          </w:p>
        </w:tc>
      </w:tr>
      <w:tr w:rsidR="004F74DE" w14:paraId="4E9134B3" w14:textId="77777777">
        <w:tc>
          <w:tcPr>
            <w:tcW w:w="2600" w:type="dxa"/>
            <w:tcBorders>
              <w:bottom w:val="dotted" w:sz="3" w:space="0" w:color="275317"/>
            </w:tcBorders>
            <w:shd w:val="clear" w:color="auto" w:fill="F4F9EB"/>
            <w:vAlign w:val="center"/>
          </w:tcPr>
          <w:p w14:paraId="0F241C9E" w14:textId="77777777" w:rsidR="004F74DE" w:rsidRDefault="009A50DC">
            <w:pPr>
              <w:numPr>
                <w:ilvl w:val="0"/>
                <w:numId w:val="2"/>
              </w:numPr>
              <w:ind w:left="240" w:hanging="300"/>
              <w:jc w:val="both"/>
            </w:pPr>
            <w:r>
              <w:rPr>
                <w:rFonts w:ascii="Calibri" w:hAnsi="Calibri" w:cs="Calibri"/>
                <w:b/>
                <w:color w:val="0D381F"/>
                <w:shd w:val="clear" w:color="auto" w:fill="F4F9EB"/>
              </w:rPr>
              <w:t>GBEPC2021 – 5.2.1.5</w:t>
            </w:r>
          </w:p>
        </w:tc>
        <w:tc>
          <w:tcPr>
            <w:tcW w:w="8840" w:type="dxa"/>
            <w:tcBorders>
              <w:bottom w:val="dotted" w:sz="3" w:space="0" w:color="275317"/>
            </w:tcBorders>
            <w:shd w:val="clear" w:color="auto" w:fill="F4F9EB"/>
            <w:vAlign w:val="center"/>
          </w:tcPr>
          <w:p w14:paraId="776A92DE" w14:textId="77777777" w:rsidR="004F74DE" w:rsidRDefault="009A50DC">
            <w:pPr>
              <w:numPr>
                <w:ilvl w:val="0"/>
                <w:numId w:val="2"/>
              </w:numPr>
              <w:ind w:left="240" w:hanging="300"/>
              <w:jc w:val="both"/>
            </w:pPr>
            <w:r>
              <w:rPr>
                <w:rFonts w:ascii="Calibri" w:hAnsi="Calibri" w:cs="Calibri"/>
                <w:color w:val="0D381F"/>
                <w:shd w:val="clear" w:color="auto" w:fill="F4F9EB"/>
              </w:rPr>
              <w:t>Energy Conservation a</w:t>
            </w:r>
            <w:r>
              <w:rPr>
                <w:rFonts w:ascii="Calibri" w:hAnsi="Calibri" w:cs="Calibri"/>
                <w:color w:val="0D381F"/>
                <w:shd w:val="clear" w:color="auto" w:fill="F4F9EB"/>
              </w:rPr>
              <w:t>nd Environmental-friendly Renovation of Existing Buildings</w:t>
            </w:r>
          </w:p>
        </w:tc>
      </w:tr>
      <w:tr w:rsidR="004F74DE" w14:paraId="77CF92DF" w14:textId="77777777">
        <w:tc>
          <w:tcPr>
            <w:tcW w:w="2600" w:type="dxa"/>
            <w:tcBorders>
              <w:bottom w:val="dotted" w:sz="3" w:space="0" w:color="275317"/>
            </w:tcBorders>
            <w:shd w:val="clear" w:color="auto" w:fill="F4F9EB"/>
            <w:vAlign w:val="center"/>
          </w:tcPr>
          <w:p w14:paraId="339FA027" w14:textId="77777777" w:rsidR="004F74DE" w:rsidRDefault="009A50DC">
            <w:pPr>
              <w:numPr>
                <w:ilvl w:val="0"/>
                <w:numId w:val="2"/>
              </w:numPr>
              <w:ind w:left="240" w:hanging="300"/>
              <w:jc w:val="both"/>
            </w:pPr>
            <w:r>
              <w:rPr>
                <w:rFonts w:ascii="Calibri" w:hAnsi="Calibri" w:cs="Calibri"/>
                <w:b/>
                <w:color w:val="0D381F"/>
                <w:shd w:val="clear" w:color="auto" w:fill="F4F9EB"/>
              </w:rPr>
              <w:t>GBEPC2021 – 5.2.1.6</w:t>
            </w:r>
          </w:p>
        </w:tc>
        <w:tc>
          <w:tcPr>
            <w:tcW w:w="8840" w:type="dxa"/>
            <w:tcBorders>
              <w:bottom w:val="dotted" w:sz="3" w:space="0" w:color="275317"/>
            </w:tcBorders>
            <w:shd w:val="clear" w:color="auto" w:fill="F4F9EB"/>
            <w:vAlign w:val="center"/>
          </w:tcPr>
          <w:p w14:paraId="0DCFCBF1" w14:textId="77777777" w:rsidR="004F74DE" w:rsidRDefault="009A50DC">
            <w:pPr>
              <w:numPr>
                <w:ilvl w:val="0"/>
                <w:numId w:val="2"/>
              </w:numPr>
              <w:ind w:left="240" w:hanging="300"/>
              <w:jc w:val="both"/>
            </w:pPr>
            <w:r>
              <w:rPr>
                <w:rFonts w:ascii="Calibri" w:hAnsi="Calibri" w:cs="Calibri"/>
                <w:color w:val="0D381F"/>
                <w:shd w:val="clear" w:color="auto" w:fill="F4F9EB"/>
              </w:rPr>
              <w:t>Green Warehousing Logistics</w:t>
            </w:r>
          </w:p>
        </w:tc>
      </w:tr>
      <w:tr w:rsidR="004F74DE" w14:paraId="5CD96B84" w14:textId="77777777">
        <w:tc>
          <w:tcPr>
            <w:tcW w:w="2600" w:type="dxa"/>
            <w:shd w:val="clear" w:color="auto" w:fill="F4F9EB"/>
            <w:vAlign w:val="center"/>
          </w:tcPr>
          <w:p w14:paraId="7142694C" w14:textId="77777777" w:rsidR="004F74DE" w:rsidRDefault="009A50DC">
            <w:pPr>
              <w:numPr>
                <w:ilvl w:val="0"/>
                <w:numId w:val="2"/>
              </w:numPr>
              <w:ind w:left="240" w:hanging="300"/>
              <w:jc w:val="both"/>
            </w:pPr>
            <w:r>
              <w:rPr>
                <w:rFonts w:ascii="Calibri" w:hAnsi="Calibri" w:cs="Calibri"/>
                <w:b/>
                <w:color w:val="0D381F"/>
                <w:shd w:val="clear" w:color="auto" w:fill="F4F9EB"/>
              </w:rPr>
              <w:t>SDGs 11.1</w:t>
            </w:r>
          </w:p>
        </w:tc>
        <w:tc>
          <w:tcPr>
            <w:tcW w:w="8840" w:type="dxa"/>
            <w:shd w:val="clear" w:color="auto" w:fill="F4F9EB"/>
            <w:vAlign w:val="center"/>
          </w:tcPr>
          <w:p w14:paraId="1BCE8538" w14:textId="77777777" w:rsidR="004F74DE" w:rsidRDefault="009A50DC">
            <w:pPr>
              <w:numPr>
                <w:ilvl w:val="0"/>
                <w:numId w:val="2"/>
              </w:numPr>
              <w:ind w:left="240" w:hanging="300"/>
              <w:jc w:val="both"/>
            </w:pPr>
            <w:r>
              <w:rPr>
                <w:rFonts w:ascii="Calibri" w:hAnsi="Calibri" w:cs="Calibri"/>
                <w:color w:val="0D381F"/>
                <w:shd w:val="clear" w:color="auto" w:fill="F4F9EB"/>
              </w:rPr>
              <w:t>By 2030, ensure access for all to adequate, safe and affordable housing and basic services and upgrade slums</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olor w:val="000000"/>
        </w:rPr>
        <w:t>CCX</w:t>
      </w:r>
      <w:r>
        <w:rPr>
          <w:rFonts w:ascii="Calibri" w:hAnsi="Calibri"/>
          <w:color w:val="FF0000"/>
        </w:rPr>
      </w:r>
      <w:r>
        <w:rPr>
          <w:rFonts w:ascii="Calibri" w:hAnsi="Calibri"/>
          <w:color w:val="FF0000"/>
        </w:rPr>
        <w:t>[9-2]</w:t>
      </w:r>
      <w:r>
        <w:rPr>
          <w:rFonts w:ascii="Calibri" w:hAnsi="Calibri"/>
          <w:color w:val="000000"/>
        </w:rPr>
        <w:t>GFI</w:t>
      </w:r>
      <w:r>
        <w:rPr>
          <w:rFonts w:ascii="Calibri" w:hAnsi="Calibri"/>
          <w:color w:val="000000"/>
        </w:rPr>
        <w:t xml:space="preserve"> offers pertinent and forward-thinking environmental, social, and governance (ESG) data, performance assessments and the CCX</w:t>
      </w:r>
      <w:r>
        <w:rPr>
          <w:rFonts w:ascii="Calibri" w:hAnsi="Calibri"/>
          <w:color w:val="FF0000"/>
        </w:rPr>
      </w:r>
      <w:r>
        <w:rPr>
          <w:rFonts w:ascii="Calibri" w:hAnsi="Calibri"/>
          <w:color w:val="FF0000"/>
        </w:rPr>
        <w:t>[9-3]</w:t>
      </w:r>
      <w:r>
        <w:rPr>
          <w:rFonts w:ascii="Calibri" w:hAnsi="Calibri"/>
          <w:color w:val="000000"/>
        </w:rPr>
        <w:t>GFI</w:t>
      </w:r>
      <w:r>
        <w:rPr>
          <w:rFonts w:ascii="Calibri" w:hAnsi="Calibri"/>
          <w:color w:val="000000"/>
        </w:rPr>
        <w:t xml:space="preserve"> 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olor w:val="000000"/>
        </w:rPr>
        <w:t>Analysts employing the scoring methodology, assign an overall score to the sustainable finance Framework and, when compared with the criteria of the CCX</w:t>
      </w:r>
      <w:r>
        <w:rPr>
          <w:rFonts w:ascii="Calibri" w:hAnsi="Calibri"/>
          <w:color w:val="FF0000"/>
        </w:rPr>
      </w:r>
      <w:r>
        <w:rPr>
          <w:rFonts w:ascii="Calibri" w:hAnsi="Calibri"/>
          <w:color w:val="FF0000"/>
        </w:rPr>
        <w:t>[9-4]</w:t>
      </w:r>
      <w:r>
        <w:rPr>
          <w:rFonts w:ascii="Calibri" w:hAnsi="Calibri"/>
          <w:color w:val="000000"/>
        </w:rPr>
        <w:t>GFI</w:t>
      </w:r>
      <w:r>
        <w:rPr>
          <w:rFonts w:ascii="Calibri" w:hAnsi="Calibri"/>
          <w:color w:val="000000"/>
        </w:rPr>
        <w:t xml:space="preserve"> 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w:t>
            </w:r>
            <w:r>
              <w:rPr>
                <w:rFonts w:ascii="Calibri" w:hAnsi="Calibri" w:cs="Calibri"/>
                <w:bCs/>
                <w:color w:val="FF0000"/>
                <w:szCs w:val="22"/>
              </w:rPr>
            </w:r>
            <w:r>
              <w:rPr>
                <w:rFonts w:ascii="Calibri" w:hAnsi="Calibri"/>
                <w:color w:val="043017"/>
              </w:rPr>
              <w:t xml:space="preserve">Group’s sustainable development strategy is </w:t>
            </w:r>
            <w:r>
              <w:rPr>
                <w:rFonts w:ascii="Calibri" w:hAnsi="Calibri"/>
                <w:b/>
                <w:color w:val="043017"/>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w:t>
            </w:r>
            <w:r>
              <w:rPr>
                <w:rFonts w:ascii="Calibri" w:hAnsi="Calibri" w:cs="Calibri"/>
                <w:bCs/>
                <w:color w:val="FF0000"/>
                <w:szCs w:val="22"/>
              </w:rPr>
            </w:r>
            <w:r>
              <w:rPr>
                <w:rFonts w:ascii="Calibri" w:hAnsi="Calibri"/>
                <w:color w:val="043017"/>
              </w:rPr>
              <w:t xml:space="preserve">Group’s sustainable development strategy is </w:t>
            </w:r>
            <w:r>
              <w:rPr>
                <w:rFonts w:ascii="Calibri" w:hAnsi="Calibri"/>
                <w:b/>
                <w:color w:val="043017"/>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w:t>
            </w:r>
            <w:r>
              <w:rPr>
                <w:rFonts w:ascii="Calibri" w:hAnsi="Calibri" w:cs="Calibri"/>
                <w:bCs/>
                <w:color w:val="FF0000"/>
                <w:szCs w:val="22"/>
              </w:rPr>
            </w:r>
            <w:r>
              <w:rPr>
                <w:rFonts w:ascii="Calibri" w:hAnsi="Calibri"/>
                <w:color w:val="043017"/>
              </w:rPr>
              <w:t xml:space="preserve">Group’s sustainable development strategy is </w:t>
            </w:r>
            <w:r>
              <w:rPr>
                <w:rFonts w:ascii="Calibri" w:hAnsi="Calibri"/>
                <w:b/>
                <w:color w:val="043017"/>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27"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p w14:paraId="15BE6CC9" w14:textId="77777777" w:rsidR="00723570" w:rsidRDefault="00723570">
      <w:pPr>
        <w:jc w:val="both"/>
        <w:rPr>
          <w:rFonts w:ascii="Calibri" w:hAnsi="Calibri" w:cs="Calibri" w:hint="eastAsia"/>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12995E6A" w14:textId="77777777" w:rsidR="00723570" w:rsidRDefault="00723570">
      <w:pPr>
        <w:spacing w:after="160" w:line="278" w:lineRule="auto"/>
        <w:rPr>
          <w:rFonts w:ascii="Calibri" w:hAnsi="Calibri" w:cs="Calibri"/>
        </w:rPr>
      </w:pPr>
    </w:p>
    <w:p w14:paraId="20C7B731" w14:textId="77777777"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1C554C55">
                <wp:simplePos x="0" y="0"/>
                <wp:positionH relativeFrom="column">
                  <wp:posOffset>0</wp:posOffset>
                </wp:positionH>
                <wp:positionV relativeFrom="paragraph">
                  <wp:posOffset>208915</wp:posOffset>
                </wp:positionV>
                <wp:extent cx="6653530" cy="5036820"/>
                <wp:effectExtent l="0" t="0" r="14605" b="10160"/>
                <wp:wrapNone/>
                <wp:docPr id="11" name="TextBox 5"/>
                <wp:cNvGraphicFramePr/>
                <a:graphic xmlns:a="http://schemas.openxmlformats.org/drawingml/2006/main">
                  <a:graphicData uri="http://schemas.microsoft.com/office/word/2010/wordprocessingShape">
                    <wps:wsp>
                      <wps:cNvSpPr txBox="1"/>
                      <wps:spPr>
                        <a:xfrm>
                          <a:off x="0" y="0"/>
                          <a:ext cx="6653463" cy="503682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wps:txbx>
                      <wps:bodyPr wrap="square" rtlCol="0">
                        <a:spAutoFit/>
                      </wps:bodyPr>
                    </wps:wsp>
                  </a:graphicData>
                </a:graphic>
              </wp:anchor>
            </w:drawing>
          </mc:Choice>
          <mc:Fallback>
            <w:pict>
              <v:shape w14:anchorId="72A0C292" id="TextBox 5" o:spid="_x0000_s1093" type="#_x0000_t202" style="position:absolute;margin-left:0;margin-top:16.45pt;width:523.9pt;height:396.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zfRugEAAFgDAAAOAAAAZHJzL2Uyb0RvYy54bWysU9uO0zAQfUfiHyy/06TtNlRR0xXsanlB&#13;&#10;gLTLB7iO3ViyPWbsNunfM3Yvu4I3hCI5mYvPzDkz2dxPzrKjwmjAd3w+qzlTXkJv/L7jP1+ePqw5&#13;&#10;i0n4XljwquMnFfn99v27zRhatYABbK+QEYiP7Rg6PqQU2qqKclBOxBkE5SmoAZ1IZOK+6lGMhO5s&#13;&#10;tajrphoB+4AgVYzkfTwH+bbga61k+q51VInZjlNvqZxYzl0+q+1GtHsUYTDy0ob4hy6cMJ6K3qAe&#13;&#10;RRLsgOYvKGckQgSdZhJcBVobqQoHYjOv/2DzPIigChcSJ4abTPH/wcpvxx/ITE+zm3PmhaMZvagp&#13;&#10;fYaJrbI6Y4gtJT0HSksTuSnz6o/kzKQnjS6/iQ6jOOl8umlLWEySs2lWy7tmyZmk2KpeNutFUb96&#13;&#10;vR4wpi8KHMsfHUcaXtFUHL/GRK1Q6jUlV/PwZKwtA7Q+OyJY02dfMXC/e7DIjoIm/3Gdn9w2YbxJ&#13;&#10;IytfrTLJM5n8labdVCRZ3V2Z7qA/kQAjLUrH46+DQMUZJvsAZa9KwfDpkKil0mmGOd+5oNP4SvHL&#13;&#10;quX9eGuXrNcfYvsbAAD//wMAUEsDBBQABgAIAAAAIQDjCw6e4gAAAA0BAAAPAAAAZHJzL2Rvd25y&#13;&#10;ZXYueG1sTI9LT8MwEITvSPwHa5G4UaeBvtJsqoqXVDg1RYjjNjZxRLyOYrdN/z3uCS4jrUY7M1++&#13;&#10;Gmwrjrr3jWOE8SgBoblyquEa4WP3cjcH4QOxotaxRjhrD6vi+iqnTLkTb/WxDLWIIewzQjAhdJmU&#13;&#10;vjLakh+5TnP0vl1vKcSzr6Xq6RTDbSvTJJlKSw3HBkOdfjS6+ikPFmE2eVVnMouJebPqef1l+s9y&#13;&#10;8454ezM8LaOslyCCHsLfB1wY4n4o4rC9O7DyokWINAHhPl2AuLjJwyzi7BHm6XQMssjlf4riFwAA&#13;&#10;//8DAFBLAQItABQABgAIAAAAIQC2gziS/gAAAOEBAAATAAAAAAAAAAAAAAAAAAAAAABbQ29udGVu&#13;&#10;dF9UeXBlc10ueG1sUEsBAi0AFAAGAAgAAAAhADj9If/WAAAAlAEAAAsAAAAAAAAAAAAAAAAALwEA&#13;&#10;AF9yZWxzLy5yZWxzUEsBAi0AFAAGAAgAAAAhAGkHN9G6AQAAWAMAAA4AAAAAAAAAAAAAAAAALgIA&#13;&#10;AGRycy9lMm9Eb2MueG1sUEsBAi0AFAAGAAgAAAAhAOMLDp7iAAAADQEAAA8AAAAAAAAAAAAAAAAA&#13;&#10;FAQAAGRycy9kb3ducmV2LnhtbFBLBQYAAAAABAAEAPMAAAAjBQAAAAA=&#13;&#10;" filled="f" strokecolor="#787878">
                <v:textbox style="mso-fit-shape-to-text:t">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v:textbox>
              </v:shape>
            </w:pict>
          </mc:Fallback>
        </mc:AlternateContent>
      </w:r>
    </w:p>
    <w:p w14:paraId="55BBDADE" w14:textId="63D2F0E8" w:rsidR="00723570" w:rsidRDefault="00723570"/>
    <w:sectPr w:rsidR="00723570">
      <w:headerReference w:type="default" r:id="rId28"/>
      <w:footerReference w:type="even" r:id="rId29"/>
      <w:footerReference w:type="default" r:id="rId30"/>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C985D" w14:textId="77777777" w:rsidR="009A50DC" w:rsidRDefault="009A50DC">
      <w:r>
        <w:separator/>
      </w:r>
    </w:p>
  </w:endnote>
  <w:endnote w:type="continuationSeparator" w:id="0">
    <w:p w14:paraId="211F83E7" w14:textId="77777777" w:rsidR="009A50DC" w:rsidRDefault="009A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1A641AC6" w14:textId="303B1B09" w:rsidR="00692F67" w:rsidRDefault="00377ED0">
    <w:pPr>
      <w:pStyle w:val="a7"/>
    </w:pPr>
    <w:r>
      <w:rPr>
        <w:noProof/>
      </w:rPr>
      <mc:AlternateContent>
        <mc:Choice Requires="wps">
          <w:drawing>
            <wp:anchor distT="0" distB="0" distL="114300" distR="114300" simplePos="0" relativeHeight="251683840" behindDoc="0" locked="0" layoutInCell="1" allowOverlap="1" wp14:anchorId="28423D41" wp14:editId="4C97FB20">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9A50DC"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placeholder>
                                <w:docPart w:val="B921237BFED94B2FA1A455455F089E6D"/>
                              </w:placeholder>
                              <w15:appearance w15:val="hidden"/>
                              <w:text/>
                            </w:sdtPr>
                            <w:sdtEndPr/>
                            <w:sdtContent>
                              <w:r>
                                <w:rPr>
                                  <w:rFonts w:ascii="Calibri" w:hAnsi="Calibri" w:cs="Calibri"/>
                                  <w:color w:val="B5B5B5"/>
                                  <w:sz w:val="15"/>
                                  <w:szCs w:val="15"/>
                                </w:rPr>
                                <w:t>Pingdu City Development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8423D4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tS4MAIAACkEAAAOAAAAZHJzL2Uyb0RvYy54bWysU0uOEzEQ3SNxB8t70p9kkhClMwozCkKK&#13;&#10;mJECYu247aQlt8vYTrrDAeAGs2LDnnPlHJTdSSYCVoiNXa5Xrs+rqultWyuyF9ZVoAua9VJKhOZQ&#13;&#10;VnpT0I8fFq/GlDjPdMkUaFHQg3D0dvbyxbQxE5HDFlQpLEEn2k0aU9Ct92aSJI5vRc1cD4zQCEqw&#13;&#10;NfP4tJuktKxB77VK8jQdJg3Y0ljgwjnU3ncgnUX/UgruH6R0whNVUMzNx9PGcx3OZDZlk41lZlvx&#13;&#10;UxrsH7KoWaUx6MXVPfOM7Gz1h6u64hYcSN/jUCcgZcVFrAGrydLfqlltmRGxFiTHmQtN7v+55e/3&#13;&#10;j5ZUJfYu7Q+zcZrmI0o0q7FXx6dvx+8/jz++kmwQiGqMm6D9yuAP376BFj+d9Q6Vof5W2jrcWBlB&#13;&#10;HCk/XGgWrScclf3hOBv1EeKI5YM0RRndJ8+/jXX+rYCaBKGgFtsY2WX7pfOd6dkkBNOwqJSKrVSa&#13;&#10;NAUd9m/S+OGCoHOlMUaoocs1SL5dt7H4/FzHGsoDlmehmxRn+KLCHJbM+UdmcTQwbRx3/4CHVICx&#13;&#10;4CRRsgX75W/6YI8dQ5SSBketoO7zjllBiXqnsZevs8EgzGZ8DG5GOT7sNbK+RvSuvgOc5gwXy/Ao&#13;&#10;BnuvzqK0UH/CrZiHqAgxzTF2Qf1ZvPPdAuBWcTGfRyOcRsP8Uq8MD647Vuc7D7KKhAe2Om5OJOI8&#13;&#10;xpaddicM/PU7Wj1v+OwXAAAA//8DAFBLAwQUAAYACAAAACEAFx92/OQAAAAOAQAADwAAAGRycy9k&#13;&#10;b3ducmV2LnhtbEyPQU/DMAyF70j8h8hI3Fi6wsrUNZ2moglpgsPGLtzcJmsrGqc02Vb26/FOcLFs&#13;&#10;P/n5e9lytJ04mcG3jhRMJxEIQ5XTLdUK9h/rhzkIH5A0do6Mgh/jYZnf3mSYanemrTntQi3YhHyK&#13;&#10;CpoQ+lRKXzXGop+43hBrBzdYDDwOtdQDntncdjKOokRabIk/NNibojHV1+5oFWyK9Ttuy9jOL13x&#13;&#10;+nZY9d/7z5lS93fjy4LLagEimDH8XcA1A/NDzmClO5L2olPw9Jwwf+DmEcRVj2ZJAqLkRTwFmWfy&#13;&#10;f4z8FwAA//8DAFBLAQItABQABgAIAAAAIQC2gziS/gAAAOEBAAATAAAAAAAAAAAAAAAAAAAAAABb&#13;&#10;Q29udGVudF9UeXBlc10ueG1sUEsBAi0AFAAGAAgAAAAhADj9If/WAAAAlAEAAAsAAAAAAAAAAAAA&#13;&#10;AAAALwEAAF9yZWxzLy5yZWxzUEsBAi0AFAAGAAgAAAAhAEUK1LgwAgAAKQQAAA4AAAAAAAAAAAAA&#13;&#10;AAAALgIAAGRycy9lMm9Eb2MueG1sUEsBAi0AFAAGAAgAAAAhABcfdvzkAAAADgEAAA8AAAAAAAAA&#13;&#10;AAAAAAAAigQAAGRycy9kb3ducmV2LnhtbFBLBQYAAAAABAAEAPMAAACbBQAAAAA=&#13;&#10;" filled="f" stroked="f" strokeweight=".5pt">
              <v:textbox>
                <w:txbxContent>
                  <w:p w14:paraId="58DA1B11" w14:textId="303B8764" w:rsidR="00377ED0" w:rsidRDefault="009A50DC"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placeholder>
                          <w:docPart w:val="B921237BFED94B2FA1A455455F089E6D"/>
                        </w:placeholder>
                        <w15:appearance w15:val="hidden"/>
                        <w:text/>
                      </w:sdtPr>
                      <w:sdtEndPr/>
                      <w:sdtContent>
                        <w:r>
                          <w:rPr>
                            <w:rFonts w:ascii="Calibri" w:hAnsi="Calibri" w:cs="Calibri"/>
                            <w:color w:val="B5B5B5"/>
                            <w:sz w:val="15"/>
                            <w:szCs w:val="15"/>
                          </w:rPr>
                          <w:t>Pingdu City Development Group CO., LTD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5A73707A" wp14:editId="32DF31FC">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6AFF2147" w14:textId="561A27D8" w:rsidR="00692F67" w:rsidRDefault="009A50DC">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C1B5405412ED34290CCE7B782058595"/>
                              </w:placeholder>
                              <w:showingPlcHdr/>
                              <w15:appearance w15:val="hidden"/>
                            </w:sdtPr>
                            <w:sdtEndPr/>
                            <w:sdtContent>
                              <w:r>
                                <w:rPr>
                                  <w:rFonts w:ascii="Calibri" w:hAnsi="Calibri" w:cs="Calibri"/>
                                  <w:color w:val="B5B5B5"/>
                                  <w:sz w:val="15"/>
                                  <w:szCs w:val="15"/>
                                </w:rPr>
                                <w:t>December 16, 2024</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73707A"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2MqLQIAACkEAAAOAAAAZHJzL2Uyb0RvYy54bWysU8uu0zAQ3SPxD5b3NGn6gFZNr8q9KkKq&#13;&#10;uFcqiLXr2E2k2GNst0n5APgDVmzY8139DsZOXwJWiI099jzPmZnZXatqshfWVaBz2u+llAjNoaj0&#13;&#10;Nqcf3i9fvKLEeaYLVoMWOT0IR+/mz5/NGjMVGZRQF8ISDKLdtDE5Lb030yRxvBSKuR4YoVEpwSrm&#13;&#10;8Wm3SWFZg9FVnWRpOk4asIWxwIVz+PvQKek8xpdScP8opROe1DnF2nw8bTw34UzmMzbdWmbKip/K&#13;&#10;YP9QhWKVxqSXUA/MM7Kz1R+hVMUtOJC+x0ElIGXFRcSAaPrpb2jWJTMiYkFynLnQ5P5fWP5u/2RJ&#13;&#10;VWDvRpNJOs6ydEKJZgp7dfz29fj95/HHF9IfBqIa46Zovzbo4dvX0KLT+d/hZ8DfSqvCjcgI6pHy&#13;&#10;w4Vm0XrCg1M6GI8GGSUcddlwNBoMQpjk6m2s828EKBKEnFpsY2SX7VfOd6Znk5BMw7Kq69jKWpMm&#13;&#10;p+PBKI0OFw0GrzXmCBi6WoPk200bwccCws8GigPCs9BNijN8WWENK+b8E7M4GogIx90/4iFrwFxw&#13;&#10;kigpwX7+23+wx46hlpIGRy2n7tOOWUFJ/VZjLyf94TDMZnwMRy8zfNhbzeZWo3fqHnCa+7hYhkcx&#13;&#10;2Pv6LEoL6iNuxSJkRRXTHHPn1J/Fe98tAG4VF4tFNMJpNMyv9NrwELpjdbHzIKtI+JWbE4k4j7Fl&#13;&#10;p90JA3/7jlbXDZ//AgAA//8DAFBLAwQUAAYACAAAACEAkEi/PeYAAAAPAQAADwAAAGRycy9kb3du&#13;&#10;cmV2LnhtbEyPwU7DMBBE70j8g7VI3KhDREKaxqmqoAoJ0UNLL9yceJtEtdchdtvA1+Oe4LLSaHdn&#13;&#10;5hXLyWh2xtH1lgQ8ziJgSI1VPbUC9h/rhwyY85KU1JZQwDc6WJa3N4XMlb3QFs8737JgQi6XAjrv&#13;&#10;h5xz13RopJvZASnsDnY00gc5tlyN8hLMjeZxFKXcyJ5CQicHrDpsjruTEfBWrTdyW8cm+9HV6/th&#13;&#10;NXztPxMh7u+ml0UYqwUwj5P/+4ArQ+gPZShW2xMpx7SAbP4UgLyAOA0c14MoeY6B1QLSJAFeFvw/&#13;&#10;R/kLAAD//wMAUEsBAi0AFAAGAAgAAAAhALaDOJL+AAAA4QEAABMAAAAAAAAAAAAAAAAAAAAAAFtD&#13;&#10;b250ZW50X1R5cGVzXS54bWxQSwECLQAUAAYACAAAACEAOP0h/9YAAACUAQAACwAAAAAAAAAAAAAA&#13;&#10;AAAvAQAAX3JlbHMvLnJlbHNQSwECLQAUAAYACAAAACEAEq9jKi0CAAApBAAADgAAAAAAAAAAAAAA&#13;&#10;AAAuAgAAZHJzL2Uyb0RvYy54bWxQSwECLQAUAAYACAAAACEAkEi/PeYAAAAPAQAADwAAAAAAAAAA&#13;&#10;AAAAAACHBAAAZHJzL2Rvd25yZXYueG1sUEsFBgAAAAAEAAQA8wAAAJoFAAAAAA==&#13;&#10;" filled="f" stroked="f" strokeweight=".5pt">
              <v:textbox>
                <w:txbxContent>
                  <w:p w14:paraId="6AFF2147" w14:textId="561A27D8" w:rsidR="00692F67" w:rsidRDefault="009A50DC">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C1B5405412ED34290CCE7B782058595"/>
                        </w:placeholder>
                        <w:showingPlcHdr/>
                        <w15:appearance w15:val="hidden"/>
                      </w:sdtPr>
                      <w:sdtEndPr/>
                      <w:sdtContent>
                        <w:r>
                          <w:rPr>
                            <w:rFonts w:ascii="Calibri" w:hAnsi="Calibri" w:cs="Calibri"/>
                            <w:color w:val="B5B5B5"/>
                            <w:sz w:val="15"/>
                            <w:szCs w:val="15"/>
                          </w:rPr>
                          <w:t>December 16, 2024</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07F9BE00" wp14:editId="0EB8975A">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92068" w14:textId="77777777" w:rsidR="009A50DC" w:rsidRDefault="009A50DC">
      <w:r>
        <w:separator/>
      </w:r>
    </w:p>
  </w:footnote>
  <w:footnote w:type="continuationSeparator" w:id="0">
    <w:p w14:paraId="0EC5C89A" w14:textId="77777777" w:rsidR="009A50DC" w:rsidRDefault="009A5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3.7pt;height:13.9pt" o:bullet="t">
        <v:imagedata r:id="rId1" o:title=""/>
      </v:shape>
    </w:pict>
  </w:numPicBullet>
  <w:numPicBullet w:numPicBulletId="1">
    <w:pict>
      <v:shape w14:anchorId="591255BA" id="_x0000_i1093"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264E7"/>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66056"/>
    <w:rsid w:val="00075249"/>
    <w:rsid w:val="0008439E"/>
    <w:rsid w:val="00087480"/>
    <w:rsid w:val="00091814"/>
    <w:rsid w:val="00091A45"/>
    <w:rsid w:val="00093326"/>
    <w:rsid w:val="0009390E"/>
    <w:rsid w:val="00097CAF"/>
    <w:rsid w:val="000B02FE"/>
    <w:rsid w:val="000B0ED2"/>
    <w:rsid w:val="000B35C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825A6"/>
    <w:rsid w:val="004853DC"/>
    <w:rsid w:val="00486946"/>
    <w:rsid w:val="00486DCD"/>
    <w:rsid w:val="0049183A"/>
    <w:rsid w:val="00495E2C"/>
    <w:rsid w:val="004A4DAC"/>
    <w:rsid w:val="004B5B79"/>
    <w:rsid w:val="004B629D"/>
    <w:rsid w:val="004B77D6"/>
    <w:rsid w:val="004C26ED"/>
    <w:rsid w:val="004C4785"/>
    <w:rsid w:val="004C54D3"/>
    <w:rsid w:val="004C78E2"/>
    <w:rsid w:val="004D2C0F"/>
    <w:rsid w:val="004D736E"/>
    <w:rsid w:val="004E1BEB"/>
    <w:rsid w:val="004E40D0"/>
    <w:rsid w:val="004E7D97"/>
    <w:rsid w:val="004F09B8"/>
    <w:rsid w:val="004F0B46"/>
    <w:rsid w:val="004F4E27"/>
    <w:rsid w:val="004F715C"/>
    <w:rsid w:val="004F7220"/>
    <w:rsid w:val="004F7313"/>
    <w:rsid w:val="004F74DE"/>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86C67"/>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80A80"/>
    <w:rsid w:val="00880C0D"/>
    <w:rsid w:val="00882007"/>
    <w:rsid w:val="00884B7F"/>
    <w:rsid w:val="00885168"/>
    <w:rsid w:val="00885D2D"/>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111B"/>
    <w:rsid w:val="009933A2"/>
    <w:rsid w:val="0099453E"/>
    <w:rsid w:val="00996596"/>
    <w:rsid w:val="00997798"/>
    <w:rsid w:val="00997B32"/>
    <w:rsid w:val="009A0A55"/>
    <w:rsid w:val="009A4984"/>
    <w:rsid w:val="009A49F5"/>
    <w:rsid w:val="009A50DC"/>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C0A"/>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6B7A"/>
    <w:rsid w:val="00CA75FF"/>
    <w:rsid w:val="00CA7719"/>
    <w:rsid w:val="00CB3063"/>
    <w:rsid w:val="00CB5249"/>
    <w:rsid w:val="00CB543C"/>
    <w:rsid w:val="00CB5919"/>
    <w:rsid w:val="00CB599A"/>
    <w:rsid w:val="00CC0980"/>
    <w:rsid w:val="00CC7C51"/>
    <w:rsid w:val="00CD1036"/>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41"/>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368"/>
    <w:rsid w:val="00DD2367"/>
    <w:rsid w:val="00DD5056"/>
    <w:rsid w:val="00DD62EA"/>
    <w:rsid w:val="00DD7A6A"/>
    <w:rsid w:val="00DD7ED6"/>
    <w:rsid w:val="00DE0D22"/>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4B0F"/>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 w:id="1727413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ccxgfi.com/" TargetMode="External"/><Relationship Id="rId30"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1.png"/><Relationship Id="rId4"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21237BFED94B2FA1A455455F089E6D"/>
        <w:category>
          <w:name w:val="常规"/>
          <w:gallery w:val="placeholder"/>
        </w:category>
        <w:types>
          <w:type w:val="bbPlcHdr"/>
        </w:types>
        <w:behaviors>
          <w:behavior w:val="content"/>
        </w:behaviors>
        <w:guid w:val="{762FC540-3CDA-460B-8204-BF375A05E05B}"/>
      </w:docPartPr>
      <w:docPartBody>
        <w:p w:rsidR="00CA56DE" w:rsidRDefault="003E1968" w:rsidP="003E1968">
          <w:pPr>
            <w:pStyle w:val="B921237BFED94B2FA1A455455F089E6D"/>
          </w:pPr>
          <w:r w:rsidRPr="00647F04">
            <w:rPr>
              <w:rStyle w:val="a3"/>
              <w:rFonts w:ascii="Calibri" w:hAnsi="Calibri" w:cs="Calibri"/>
              <w:sz w:val="15"/>
              <w:szCs w:val="15"/>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F0BD9"/>
    <w:rsid w:val="00100D72"/>
    <w:rsid w:val="00112AEC"/>
    <w:rsid w:val="00112C5F"/>
    <w:rsid w:val="001335B4"/>
    <w:rsid w:val="001752E9"/>
    <w:rsid w:val="001848B6"/>
    <w:rsid w:val="00184E91"/>
    <w:rsid w:val="001A3E94"/>
    <w:rsid w:val="00206F51"/>
    <w:rsid w:val="00214696"/>
    <w:rsid w:val="002359D0"/>
    <w:rsid w:val="00280F6D"/>
    <w:rsid w:val="002A73F8"/>
    <w:rsid w:val="002B5947"/>
    <w:rsid w:val="002C1391"/>
    <w:rsid w:val="002E5980"/>
    <w:rsid w:val="0031363C"/>
    <w:rsid w:val="003311C5"/>
    <w:rsid w:val="00341B08"/>
    <w:rsid w:val="00343252"/>
    <w:rsid w:val="003518F7"/>
    <w:rsid w:val="003A5E59"/>
    <w:rsid w:val="003B54FD"/>
    <w:rsid w:val="003E1968"/>
    <w:rsid w:val="00421BAC"/>
    <w:rsid w:val="00427529"/>
    <w:rsid w:val="00477E8A"/>
    <w:rsid w:val="00527176"/>
    <w:rsid w:val="00545CF4"/>
    <w:rsid w:val="00570D9C"/>
    <w:rsid w:val="00571642"/>
    <w:rsid w:val="00571E52"/>
    <w:rsid w:val="005D76A8"/>
    <w:rsid w:val="005F15DE"/>
    <w:rsid w:val="0062750D"/>
    <w:rsid w:val="00666A06"/>
    <w:rsid w:val="006716CC"/>
    <w:rsid w:val="006E77A0"/>
    <w:rsid w:val="00741C8E"/>
    <w:rsid w:val="0074665D"/>
    <w:rsid w:val="0074704D"/>
    <w:rsid w:val="00750767"/>
    <w:rsid w:val="0076234F"/>
    <w:rsid w:val="00780BC7"/>
    <w:rsid w:val="00797760"/>
    <w:rsid w:val="007B4AAF"/>
    <w:rsid w:val="007E13CB"/>
    <w:rsid w:val="008406B0"/>
    <w:rsid w:val="00844887"/>
    <w:rsid w:val="0089292C"/>
    <w:rsid w:val="008A27C4"/>
    <w:rsid w:val="008A5BCA"/>
    <w:rsid w:val="008C42F9"/>
    <w:rsid w:val="00926174"/>
    <w:rsid w:val="009430F2"/>
    <w:rsid w:val="0096591D"/>
    <w:rsid w:val="009A0EE3"/>
    <w:rsid w:val="009A6D96"/>
    <w:rsid w:val="009C777E"/>
    <w:rsid w:val="009F4EE7"/>
    <w:rsid w:val="00A91DC7"/>
    <w:rsid w:val="00AA4796"/>
    <w:rsid w:val="00AB3BC7"/>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81F4C"/>
    <w:rsid w:val="00DB50E1"/>
    <w:rsid w:val="00DC2D98"/>
    <w:rsid w:val="00DC4BB6"/>
    <w:rsid w:val="00DD2367"/>
    <w:rsid w:val="00DD6231"/>
    <w:rsid w:val="00E37FD2"/>
    <w:rsid w:val="00E507CD"/>
    <w:rsid w:val="00E5125C"/>
    <w:rsid w:val="00E64457"/>
    <w:rsid w:val="00E648BD"/>
    <w:rsid w:val="00E867EF"/>
    <w:rsid w:val="00EB400C"/>
    <w:rsid w:val="00EE7A42"/>
    <w:rsid w:val="00F0537C"/>
    <w:rsid w:val="00F24924"/>
    <w:rsid w:val="00F33773"/>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E5980"/>
    <w:rPr>
      <w:color w:val="666666"/>
    </w:rPr>
  </w:style>
  <w:style w:type="paragraph" w:customStyle="1" w:styleId="B0C650FDAFA64DF2AA084B25432A4EA1">
    <w:name w:val="B0C650FDAFA64DF2AA084B25432A4EA1"/>
    <w:rsid w:val="003E1968"/>
    <w:pPr>
      <w:widowControl w:val="0"/>
      <w:jc w:val="both"/>
    </w:pPr>
  </w:style>
  <w:style w:type="paragraph" w:customStyle="1" w:styleId="B921237BFED94B2FA1A455455F089E6D">
    <w:name w:val="B921237BFED94B2FA1A455455F089E6D"/>
    <w:rsid w:val="003E1968"/>
    <w:rPr>
      <w:rFonts w:ascii="宋体" w:eastAsia="宋体" w:hAnsi="宋体" w:cs="宋体"/>
      <w:kern w:val="0"/>
      <w:sz w:val="24"/>
      <w:szCs w:val="24"/>
      <w14:ligatures w14:val="none"/>
    </w:rPr>
  </w:style>
  <w:style w:type="paragraph" w:customStyle="1" w:styleId="81C147026FF7404E8287E6255FC81274">
    <w:name w:val="81C147026FF7404E8287E6255FC81274"/>
    <w:rsid w:val="003E1968"/>
    <w:pPr>
      <w:widowControl w:val="0"/>
      <w:jc w:val="both"/>
    </w:pPr>
  </w:style>
  <w:style w:type="paragraph" w:customStyle="1" w:styleId="623176993B3146B2B8868C5A98BFA767">
    <w:name w:val="623176993B3146B2B8868C5A98BFA767"/>
    <w:rsid w:val="003E1968"/>
    <w:pPr>
      <w:widowControl w:val="0"/>
      <w:jc w:val="both"/>
    </w:pPr>
  </w:style>
  <w:style w:type="paragraph" w:customStyle="1" w:styleId="7E365BE5A65F4B1A882AB76FDFD4DCBD">
    <w:name w:val="7E365BE5A65F4B1A882AB76FDFD4DCBD"/>
    <w:rsid w:val="003E1968"/>
    <w:pPr>
      <w:widowControl w:val="0"/>
      <w:jc w:val="both"/>
    </w:pPr>
  </w:style>
  <w:style w:type="paragraph" w:customStyle="1" w:styleId="3A14363CC63A4F799889249C28C5F9C3">
    <w:name w:val="3A14363CC63A4F799889249C28C5F9C3"/>
    <w:rsid w:val="003E1968"/>
    <w:pPr>
      <w:widowControl w:val="0"/>
      <w:jc w:val="both"/>
    </w:pPr>
  </w:style>
  <w:style w:type="paragraph" w:customStyle="1" w:styleId="8C8521A0B2FE40B193AC8DD947B49ED2">
    <w:name w:val="8C8521A0B2FE40B193AC8DD947B49ED2"/>
    <w:rsid w:val="003E1968"/>
    <w:pPr>
      <w:widowControl w:val="0"/>
      <w:jc w:val="both"/>
    </w:pPr>
  </w:style>
  <w:style w:type="paragraph" w:customStyle="1" w:styleId="0D37FB356B2C44DF9FB5804AD76764CE">
    <w:name w:val="0D37FB356B2C44DF9FB5804AD76764CE"/>
    <w:rsid w:val="003E1968"/>
    <w:pPr>
      <w:widowControl w:val="0"/>
      <w:jc w:val="both"/>
    </w:pPr>
  </w:style>
  <w:style w:type="paragraph" w:customStyle="1" w:styleId="22E8837F1BCA4A409940BD59A1BD1D3F">
    <w:name w:val="22E8837F1BCA4A409940BD59A1BD1D3F"/>
    <w:rsid w:val="003E1968"/>
    <w:pPr>
      <w:widowControl w:val="0"/>
      <w:jc w:val="both"/>
    </w:pPr>
  </w:style>
  <w:style w:type="paragraph" w:customStyle="1" w:styleId="0E9AB65C44894BBC950A556448934EC9">
    <w:name w:val="0E9AB65C44894BBC950A556448934EC9"/>
    <w:rsid w:val="00112C5F"/>
    <w:pPr>
      <w:widowControl w:val="0"/>
      <w:jc w:val="both"/>
    </w:pPr>
  </w:style>
  <w:style w:type="paragraph" w:customStyle="1" w:styleId="FD463D16B7DE46459ACBB9F28F23B53C">
    <w:name w:val="FD463D16B7DE46459ACBB9F28F23B53C"/>
    <w:rsid w:val="00C24F2E"/>
    <w:pPr>
      <w:widowControl w:val="0"/>
      <w:jc w:val="both"/>
    </w:pPr>
  </w:style>
  <w:style w:type="paragraph" w:customStyle="1" w:styleId="B229A8FEC60341EAB1859618FCCBDFE0">
    <w:name w:val="B229A8FEC60341EAB1859618FCCBDFE0"/>
    <w:rsid w:val="00C24F2E"/>
    <w:pPr>
      <w:widowControl w:val="0"/>
      <w:jc w:val="both"/>
    </w:pPr>
  </w:style>
  <w:style w:type="paragraph" w:customStyle="1" w:styleId="278A05A76DC447D18C244EB4F1BB126B">
    <w:name w:val="278A05A76DC447D18C244EB4F1BB126B"/>
    <w:rsid w:val="00C24F2E"/>
    <w:pPr>
      <w:widowControl w:val="0"/>
      <w:jc w:val="both"/>
    </w:pPr>
  </w:style>
  <w:style w:type="paragraph" w:customStyle="1" w:styleId="A4A05CD6A4BB4B2C8D100A5698ECE9B6">
    <w:name w:val="A4A05CD6A4BB4B2C8D100A5698ECE9B6"/>
    <w:rsid w:val="00C24F2E"/>
    <w:pPr>
      <w:widowControl w:val="0"/>
      <w:jc w:val="both"/>
    </w:pPr>
  </w:style>
  <w:style w:type="paragraph" w:customStyle="1" w:styleId="B81E7E8674034D1C8429DDF1DEC4CD33">
    <w:name w:val="B81E7E8674034D1C8429DDF1DEC4CD33"/>
    <w:rsid w:val="00C24F2E"/>
    <w:pPr>
      <w:widowControl w:val="0"/>
      <w:jc w:val="both"/>
    </w:pPr>
  </w:style>
  <w:style w:type="paragraph" w:customStyle="1" w:styleId="848FDFAEDE474BFCBCDC5118BEA23288">
    <w:name w:val="848FDFAEDE474BFCBCDC5118BEA23288"/>
    <w:rsid w:val="002359D0"/>
    <w:pPr>
      <w:widowControl w:val="0"/>
      <w:jc w:val="both"/>
    </w:pPr>
  </w:style>
  <w:style w:type="paragraph" w:customStyle="1" w:styleId="CFC2FDDB460845F4B041A97306955036">
    <w:name w:val="CFC2FDDB460845F4B041A97306955036"/>
    <w:rsid w:val="002359D0"/>
    <w:pPr>
      <w:widowControl w:val="0"/>
      <w:jc w:val="both"/>
    </w:pPr>
  </w:style>
  <w:style w:type="paragraph" w:customStyle="1" w:styleId="473D9A2B0B914390A8BE22EA13EE16EF">
    <w:name w:val="473D9A2B0B914390A8BE22EA13EE16EF"/>
    <w:rsid w:val="002359D0"/>
    <w:pPr>
      <w:widowControl w:val="0"/>
      <w:jc w:val="both"/>
    </w:pPr>
  </w:style>
  <w:style w:type="paragraph" w:customStyle="1" w:styleId="2F6E56542F94458C99BE146C7E24C32F">
    <w:name w:val="2F6E56542F94458C99BE146C7E24C32F"/>
    <w:rsid w:val="0074665D"/>
    <w:pPr>
      <w:widowControl w:val="0"/>
      <w:jc w:val="both"/>
    </w:pPr>
  </w:style>
  <w:style w:type="paragraph" w:customStyle="1" w:styleId="4FC764DB0BE2404892C5A24EB1C90600">
    <w:name w:val="4FC764DB0BE2404892C5A24EB1C90600"/>
    <w:rsid w:val="0074665D"/>
    <w:pPr>
      <w:widowControl w:val="0"/>
      <w:jc w:val="both"/>
    </w:pPr>
  </w:style>
  <w:style w:type="paragraph" w:customStyle="1" w:styleId="BB1832DB949947C6A8B582A19F852B24">
    <w:name w:val="BB1832DB949947C6A8B582A19F852B24"/>
    <w:rsid w:val="003518F7"/>
    <w:pPr>
      <w:widowControl w:val="0"/>
      <w:jc w:val="both"/>
    </w:pPr>
  </w:style>
  <w:style w:type="paragraph" w:customStyle="1" w:styleId="9470E55C45A546A9A8B71DF9045342B0">
    <w:name w:val="9470E55C45A546A9A8B71DF9045342B0"/>
    <w:rsid w:val="003518F7"/>
    <w:pPr>
      <w:widowControl w:val="0"/>
      <w:jc w:val="both"/>
    </w:pPr>
  </w:style>
  <w:style w:type="paragraph" w:customStyle="1" w:styleId="364BE1E5F5264374AFEB26E65F99BA88">
    <w:name w:val="364BE1E5F5264374AFEB26E65F99BA88"/>
    <w:rsid w:val="003518F7"/>
    <w:pPr>
      <w:widowControl w:val="0"/>
      <w:jc w:val="both"/>
    </w:pPr>
  </w:style>
  <w:style w:type="paragraph" w:customStyle="1" w:styleId="6B934427ECB2412BAD073D3926B2447C">
    <w:name w:val="6B934427ECB2412BAD073D3926B2447C"/>
    <w:rsid w:val="003518F7"/>
    <w:pPr>
      <w:widowControl w:val="0"/>
      <w:jc w:val="both"/>
    </w:pPr>
  </w:style>
  <w:style w:type="paragraph" w:customStyle="1" w:styleId="EE21C0A591F54C6BAE28D03074FE4C46">
    <w:name w:val="EE21C0A591F54C6BAE28D03074FE4C46"/>
    <w:rsid w:val="003518F7"/>
    <w:pPr>
      <w:widowControl w:val="0"/>
      <w:jc w:val="both"/>
    </w:pPr>
  </w:style>
  <w:style w:type="paragraph" w:customStyle="1" w:styleId="2E11639F095D43968417879FA7AC7839">
    <w:name w:val="2E11639F095D43968417879FA7AC7839"/>
    <w:rsid w:val="003518F7"/>
    <w:pPr>
      <w:widowControl w:val="0"/>
      <w:jc w:val="both"/>
    </w:pPr>
  </w:style>
  <w:style w:type="paragraph" w:customStyle="1" w:styleId="3729EB32F5914AB59E9BD76EC4ACA02D">
    <w:name w:val="3729EB32F5914AB59E9BD76EC4ACA02D"/>
    <w:rsid w:val="003518F7"/>
    <w:pPr>
      <w:widowControl w:val="0"/>
      <w:jc w:val="both"/>
    </w:pPr>
  </w:style>
  <w:style w:type="paragraph" w:customStyle="1" w:styleId="E977A12CA14C43A5921D4A00DAE2B9A7">
    <w:name w:val="E977A12CA14C43A5921D4A00DAE2B9A7"/>
    <w:rsid w:val="003518F7"/>
    <w:pPr>
      <w:widowControl w:val="0"/>
      <w:jc w:val="both"/>
    </w:pPr>
  </w:style>
  <w:style w:type="paragraph" w:customStyle="1" w:styleId="78B973DC6ED5423CAF08D5DF083B7150">
    <w:name w:val="78B973DC6ED5423CAF08D5DF083B7150"/>
    <w:rsid w:val="003518F7"/>
    <w:pPr>
      <w:widowControl w:val="0"/>
      <w:jc w:val="both"/>
    </w:pPr>
  </w:style>
  <w:style w:type="paragraph" w:customStyle="1" w:styleId="D15673A1F3294D188767CE828250358F">
    <w:name w:val="D15673A1F3294D188767CE828250358F"/>
    <w:rsid w:val="003518F7"/>
    <w:pPr>
      <w:widowControl w:val="0"/>
      <w:jc w:val="both"/>
    </w:pPr>
  </w:style>
  <w:style w:type="paragraph" w:customStyle="1" w:styleId="59DA49E7990D4E32B225D9185B2C36C3">
    <w:name w:val="59DA49E7990D4E32B225D9185B2C36C3"/>
    <w:rsid w:val="003518F7"/>
    <w:pPr>
      <w:widowControl w:val="0"/>
      <w:jc w:val="both"/>
    </w:pPr>
  </w:style>
  <w:style w:type="paragraph" w:customStyle="1" w:styleId="FB2E69ACD08848A4BDD08AF40C9AA5DB">
    <w:name w:val="FB2E69ACD08848A4BDD08AF40C9AA5DB"/>
    <w:rsid w:val="003518F7"/>
    <w:pPr>
      <w:widowControl w:val="0"/>
      <w:jc w:val="both"/>
    </w:pPr>
  </w:style>
  <w:style w:type="paragraph" w:customStyle="1" w:styleId="BA00FBA28FBE4E4D860E00DEA912FBF6">
    <w:name w:val="BA00FBA28FBE4E4D860E00DEA912FBF6"/>
    <w:rsid w:val="00EB400C"/>
    <w:pPr>
      <w:widowControl w:val="0"/>
      <w:jc w:val="both"/>
    </w:pPr>
  </w:style>
  <w:style w:type="paragraph" w:customStyle="1" w:styleId="5DCD83D3FE574BEAB4D7EBE785D59759">
    <w:name w:val="5DCD83D3FE574BEAB4D7EBE785D59759"/>
    <w:rsid w:val="00EB400C"/>
    <w:pPr>
      <w:widowControl w:val="0"/>
      <w:jc w:val="both"/>
    </w:pPr>
  </w:style>
  <w:style w:type="paragraph" w:customStyle="1" w:styleId="B8A2FEF10F394BBBA2D9A684AB9787C3">
    <w:name w:val="B8A2FEF10F394BBBA2D9A684AB9787C3"/>
    <w:rsid w:val="00D529D0"/>
    <w:pPr>
      <w:widowControl w:val="0"/>
      <w:jc w:val="both"/>
    </w:pPr>
  </w:style>
  <w:style w:type="paragraph" w:customStyle="1" w:styleId="89D7AABD667840D19F8CFE48F92CE5FA">
    <w:name w:val="89D7AABD667840D19F8CFE48F92CE5FA"/>
    <w:rsid w:val="00C450F1"/>
    <w:pPr>
      <w:widowControl w:val="0"/>
      <w:jc w:val="both"/>
    </w:pPr>
  </w:style>
  <w:style w:type="paragraph" w:customStyle="1" w:styleId="EACCF7AD2D8E4ED2B7B421BBEB2EDCD1">
    <w:name w:val="EACCF7AD2D8E4ED2B7B421BBEB2EDCD1"/>
    <w:rsid w:val="00C450F1"/>
    <w:pPr>
      <w:widowControl w:val="0"/>
      <w:jc w:val="both"/>
    </w:pPr>
  </w:style>
  <w:style w:type="paragraph" w:customStyle="1" w:styleId="8CB7E697F4F04417A648B52A6B30EE0C">
    <w:name w:val="8CB7E697F4F04417A648B52A6B30EE0C"/>
    <w:rsid w:val="00C27D41"/>
    <w:pPr>
      <w:widowControl w:val="0"/>
      <w:jc w:val="both"/>
    </w:pPr>
  </w:style>
  <w:style w:type="paragraph" w:customStyle="1" w:styleId="FC1B5405412ED34290CCE7B782058595">
    <w:name w:val="FC1B5405412ED34290CCE7B782058595"/>
    <w:rsid w:val="00571642"/>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00FDFC-E75E-4EB3-BAB2-D6139F1558EF}">
  <ds:schemaRefs>
    <ds:schemaRef ds:uri="http://schemas.openxmlformats.org/wordprocessingml/2006/main"/>
    <ds:schemaRef ds:uri="http://schemas.openxmlformats.org/officeDocument/2006/relationships"/>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3459</TotalTime>
  <Pages>18</Pages>
  <Words>4461</Words>
  <Characters>25428</Characters>
  <Application>Microsoft Office Word</Application>
  <DocSecurity>0</DocSecurity>
  <Lines>211</Lines>
  <Paragraphs>59</Paragraphs>
  <ScaleCrop>false</ScaleCrop>
  <Company/>
  <LinksUpToDate>false</LinksUpToDate>
  <CharactersWithSpaces>29830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11</cp:revision>
  <cp:lastPrinted>2024-09-22T06:23:00Z</cp:lastPrinted>
  <dcterms:created xsi:type="dcterms:W3CDTF">2024-10-21T10:39:00Z</dcterms:created>
  <dcterms:modified xsi:type="dcterms:W3CDTF">2024-12-16T09:05:00Z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