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FC980BF" w:rsidR="00723570" w:rsidRDefault="00692F67">
      <w:r>
        <w:rPr>
          <w:noProof/>
        </w:rPr>
        <w:drawing>
          <wp:anchor distT="0" distB="0" distL="114300" distR="114300" simplePos="0" relativeHeight="251664384" behindDoc="1" locked="0" layoutInCell="1" allowOverlap="1" wp14:anchorId="3C9803FB" wp14:editId="41CADBFF">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05D2E6C" w:rsidR="00723570" w:rsidRDefault="00304A92">
      <w:r>
        <w:rPr>
          <w:noProof/>
        </w:rPr>
        <mc:AlternateContent>
          <mc:Choice Requires="wps">
            <w:drawing>
              <wp:anchor distT="0" distB="0" distL="114300" distR="114300" simplePos="0" relativeHeight="251670528" behindDoc="0" locked="0" layoutInCell="1" allowOverlap="1" wp14:anchorId="46C3D97F" wp14:editId="5AE7A2D8">
                <wp:simplePos x="0" y="0"/>
                <wp:positionH relativeFrom="column">
                  <wp:posOffset>127000</wp:posOffset>
                </wp:positionH>
                <wp:positionV relativeFrom="paragraph">
                  <wp:posOffset>135890</wp:posOffset>
                </wp:positionV>
                <wp:extent cx="6794500" cy="864870"/>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794500"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10.7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v:textbox>
              </v:shape>
            </w:pict>
          </mc:Fallback>
        </mc:AlternateContent>
      </w:r>
    </w:p>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富港建设集团有限公司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富港建设集团有限公司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Jiangsu,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5, 2024</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5,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B43514" w:rsidP="003325E2">
      <w:pPr>
        <w:spacing w:beforeLines="50" w:before="163" w:after="160"/>
        <w:jc w:val="both"/>
        <w:rPr>
          <w:rFonts w:ascii="Calibri" w:hAnsi="Calibri" w:cs="Calibri"/>
          <w:b/>
          <w:bCs/>
        </w:rPr>
      </w:pPr>
      <w:r>
        <w:rPr>
          <w:rFonts w:ascii="Calibri" w:hAnsi="Calibri" w:cs="Calibri"/>
          <w:b/>
        </w:rPr>
        <w:t xml:space="preserve">CCXGFI has provided a SPO on Fu Gang Construction Group Co. Limited </w:t>
      </w:r>
      <w:r>
        <w:rPr>
          <w:rFonts w:ascii="Calibri" w:hAnsi="Calibri" w:cs="Calibri"/>
          <w:b/>
          <w:color w:val="FF0000"/>
        </w:rPr>
        <w:t>[13-4]</w:t>
      </w:r>
      <w:r>
        <w:rPr>
          <w:rFonts w:ascii="Calibri" w:hAnsi="Calibri"/>
          <w:b/>
        </w:rPr>
        <w:t xml:space="preserve">Green Finance Framework (the “Green </w:t>
      </w:r>
      <w:r>
        <w:rPr>
          <w:rFonts w:ascii="Calibri" w:hAnsi="Calibri"/>
          <w:b/>
        </w:rPr>
        <w:t>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5BBE7105" w14:textId="77777777" w:rsidR="00D71E8E" w:rsidRDefault="00B43514">
      <w:pPr>
        <w:numPr>
          <w:ilvl w:val="0"/>
          <w:numId w:val="3"/>
        </w:numPr>
      </w:pPr>
      <w:r>
        <w:rPr>
          <w:rFonts w:ascii="Calibri" w:hAnsi="Calibri" w:cs="Calibri"/>
        </w:rPr>
        <w:t>GBP2021: Green Bond Principles 2021 (with June 2022 Appendix I) by ICMA</w:t>
      </w:r>
    </w:p>
    <w:p w14:paraId="3402C201" w14:textId="77777777" w:rsidR="00D71E8E" w:rsidRDefault="00B43514">
      <w:pPr>
        <w:numPr>
          <w:ilvl w:val="0"/>
          <w:numId w:val="3"/>
        </w:numPr>
      </w:pPr>
      <w:r>
        <w:rPr>
          <w:rFonts w:ascii="Calibri" w:hAnsi="Calibri" w:cs="Calibri"/>
        </w:rPr>
        <w:t xml:space="preserve">GLP2023: Green Loan Principles 2023 by </w:t>
      </w:r>
      <w:r>
        <w:rPr>
          <w:rFonts w:ascii="Calibri" w:hAnsi="Calibri" w:cs="Calibri"/>
        </w:rPr>
        <w:t>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68D97D7F" w14:textId="77777777" w:rsidR="00D71E8E" w:rsidRDefault="00B43514">
      <w:pPr>
        <w:spacing w:beforeLines="50" w:before="163" w:after="160"/>
        <w:jc w:val="both"/>
      </w:pPr>
      <w:r>
        <w:rPr>
          <w:rFonts w:ascii="Calibri" w:hAnsi="Calibri" w:cs="Calibri"/>
        </w:rPr>
        <w:t>Fu Gang Construction Group Co. Limited</w:t>
      </w:r>
      <w:r>
        <w:rPr>
          <w:rFonts w:ascii="Calibri" w:hAnsi="Calibri" w:cs="Calibri"/>
        </w:rPr>
        <w:t xml:space="preserve"> (the “Group”) was established on July 8, 2010. The Rugao Port Industrial Park Management Committee holds 100% of the Group’s shares, making it the controlling shareholder and actual controller. The Group is an important entity in urban construction and st</w:t>
      </w:r>
      <w:r>
        <w:rPr>
          <w:rFonts w:ascii="Calibri" w:hAnsi="Calibri" w:cs="Calibri"/>
        </w:rPr>
        <w:t>ate-owned asset management in Rugao City. It is currently engaged in leasing and property services, hospitality and catering services, construction and development business.</w:t>
      </w:r>
    </w:p>
    <w:p w14:paraId="7AB068DE" w14:textId="77777777" w:rsidR="00D71E8E" w:rsidRDefault="00B43514">
      <w:pPr>
        <w:spacing w:beforeLines="50" w:before="163" w:after="160"/>
        <w:jc w:val="both"/>
      </w:pPr>
      <w:r>
        <w:rPr>
          <w:rFonts w:ascii="Calibri" w:hAnsi="Calibri"/>
        </w:rPr>
        <w:t xml:space="preserve">In accordance with the State Council’s overall guidance on green development and the national “14th Five-Year” Strategic Plan of “Environmental Protection and Development of Low-Carbon Economy,” the Group is committed to ensuring that its economic performance is a resource foundation and ensures that its economic development is beneficial to the environment. The company adheres to the highest sense of environmental responsibility, and integrates the spirit of green development into its rules, regulations and business development plans. The Group actively integrates green principles into the economic development of Rugao City and is committed to making contributions in the fields of </w:t>
      </w:r>
      <w:r>
        <w:rPr>
          <w:color w:val="FF0000"/>
        </w:rPr>
      </w:r>
      <w:r>
        <w:rPr>
          <w:rFonts w:ascii="Calibri" w:hAnsi="Calibri"/>
        </w:rPr>
        <w:t>green building</w:t>
      </w:r>
      <w:r>
        <w:rPr>
          <w:rFonts w:ascii="Calibri" w:hAnsi="Calibri"/>
        </w:rPr>
        <w:t xml:space="preserve"> and infrastructure. Meanwhile, the Group also insists on reducing the negative impact on the environment during the engineering design and construction process, in doing so, ensuring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343B8E53" w14:textId="77777777" w:rsidR="00D71E8E" w:rsidRDefault="00B43514">
            <w:pPr>
              <w:numPr>
                <w:ilvl w:val="0"/>
                <w:numId w:val="2"/>
              </w:numPr>
              <w:jc w:val="both"/>
            </w:pPr>
            <w:r>
              <w:rPr>
                <w:rFonts w:ascii="Calibri" w:hAnsi="Calibri" w:cs="Calibri"/>
                <w:color w:val="0D381F"/>
              </w:rPr>
              <w:t xml:space="preserve">For Use of Proceeds, the Eligible Green Projects Category is Green </w:t>
            </w:r>
            <w:r>
              <w:rPr>
                <w:rFonts w:ascii="Calibri" w:hAnsi="Calibri" w:cs="Calibri"/>
                <w:color w:val="0D381F"/>
              </w:rPr>
              <w:t>Building.</w:t>
            </w:r>
          </w:p>
          <w:p w14:paraId="6BCFCFA8" w14:textId="77777777" w:rsidR="00D71E8E" w:rsidRDefault="00B43514">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w:t>
            </w:r>
            <w:proofErr w:type="gramStart"/>
            <w:r>
              <w:rPr>
                <w:rFonts w:ascii="Calibri" w:hAnsi="Calibri" w:cs="Calibri"/>
                <w:color w:val="0D381F"/>
              </w:rPr>
              <w:t>. .</w:t>
            </w:r>
            <w:proofErr w:type="gramEnd"/>
          </w:p>
          <w:p w14:paraId="1E5E4124" w14:textId="77777777" w:rsidR="00D71E8E" w:rsidRDefault="00B43514">
            <w:pPr>
              <w:numPr>
                <w:ilvl w:val="0"/>
                <w:numId w:val="2"/>
              </w:numPr>
              <w:jc w:val="both"/>
            </w:pPr>
            <w:r>
              <w:rPr>
                <w:rFonts w:ascii="Calibri" w:hAnsi="Calibri" w:cs="Calibri"/>
                <w:color w:val="0D381F"/>
              </w:rPr>
              <w:t xml:space="preserve">For Management of Proceeds, the </w:t>
            </w:r>
            <w:r>
              <w:rPr>
                <w:rFonts w:ascii="Calibri" w:hAnsi="Calibri" w:cs="Calibri"/>
                <w:color w:val="0D381F"/>
              </w:rPr>
              <w:t>proceeds from Green Financing Transactions (“</w:t>
            </w:r>
            <w:r>
              <w:rPr>
                <w:rFonts w:ascii="Calibri" w:hAnsi="Calibri" w:cs="Calibri"/>
                <w:color w:val="FF0000"/>
              </w:rPr>
              <w:t>[9-1]</w:t>
            </w:r>
            <w:proofErr w:type="gramStart"/>
            <w:r>
              <w:rPr>
                <w:rFonts w:ascii="Calibri" w:hAnsi="Calibri" w:cs="Calibri"/>
                <w:color w:val="0D381F"/>
              </w:rPr>
              <w:t>GFT”) will be deposited in a special account or general funding accounts and the Group will maintain a register to keep track of the use of proceeds if depositing the proceeds in general funding accounts. The Gr</w:t>
            </w:r>
            <w:proofErr w:type="gramEnd"/>
            <w:r>
              <w:rPr>
                <w:rFonts w:ascii="Calibri" w:hAnsi="Calibri" w:cs="Calibri"/>
                <w:color w:val="0D381F"/>
              </w:rPr>
              <w:t>een Financing Working Group (the “</w:t>
            </w:r>
            <w:r>
              <w:rPr>
                <w:rFonts w:ascii="Calibri" w:hAnsi="Calibri" w:cs="Calibri"/>
                <w:color w:val="FF0000"/>
              </w:rPr>
              <w:t>[9-14]</w:t>
            </w:r>
            <w:r>
              <w:rPr>
                <w:rFonts w:ascii="Calibri" w:hAnsi="Calibri"/>
                <w:color w:val="0D381F"/>
              </w:rPr>
              <w:t xml:space="preserve">GFWG”) will ensure that projects no longer meeting the selection criteria detailed in the Framework will be removed and/or substituted on a </w:t>
            </w:r>
            <w:r>
              <w:rPr>
                <w:rFonts w:ascii="Calibri" w:hAnsi="Calibri"/>
                <w:color w:val="0D381F"/>
              </w:rPr>
              <w:t>best efforts</w:t>
            </w:r>
            <w:r>
              <w:rPr>
                <w:rFonts w:ascii="Calibri" w:hAnsi="Calibri"/>
                <w:color w:val="0D381F"/>
              </w:rPr>
              <w:t xml:space="preserve"> basis throughout the life of the bond/loan. Also, the unallocated pro</w:t>
            </w:r>
            <w:r>
              <w:rPr>
                <w:rFonts w:ascii="Calibri" w:hAnsi="Calibri"/>
                <w:color w:val="0D381F"/>
              </w:rPr>
              <w:t>ceeds will be temporarily held on cash deposits.</w:t>
            </w:r>
          </w:p>
          <w:p w14:paraId="20F5C524" w14:textId="77777777" w:rsidR="00D71E8E" w:rsidRDefault="00B43514">
            <w:pPr>
              <w:numPr>
                <w:ilvl w:val="0"/>
                <w:numId w:val="2"/>
              </w:numPr>
              <w:jc w:val="both"/>
            </w:pPr>
            <w:r>
              <w:rPr>
                <w:rFonts w:ascii="Calibri" w:hAnsi="Calibri" w:cs="Calibri"/>
                <w:color w:val="0D381F"/>
              </w:rPr>
              <w:t>For Reporting, the Group is committed to reporting the allocation of net proceeds at least annually until all the net proceeds are being allocated to Eligible Projects and disclosing the impact of financed p</w:t>
            </w:r>
            <w:r>
              <w:rPr>
                <w:rFonts w:ascii="Calibri" w:hAnsi="Calibri" w:cs="Calibri"/>
                <w:color w:val="0D381F"/>
              </w:rPr>
              <w:t>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0F98BF5C" w14:textId="77777777" w:rsidR="00D71E8E" w:rsidRDefault="00B43514">
            <w:r>
              <w:rPr>
                <w:noProof/>
              </w:rPr>
              <w:lastRenderedPageBreak/>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r>
      <w:r>
        <w:rPr>
          <w:rFonts w:ascii="Calibri" w:hAnsi="Calibri"/>
        </w:rPr>
        <w:t>Sustainability Finance Framework is credible and impactful and aligns with the four core components of the GBP2021 (with June 2022 Appendix I), SBP2023, SBG2021, GLP2023 and SLP2023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02FA231D" w14:textId="77777777" w:rsidR="00D71E8E" w:rsidRDefault="00B43514">
            <w:pPr>
              <w:numPr>
                <w:ilvl w:val="0"/>
                <w:numId w:val="2"/>
              </w:numPr>
              <w:jc w:val="both"/>
            </w:pPr>
            <w:r>
              <w:rPr>
                <w:rFonts w:ascii="Calibri" w:hAnsi="Calibri" w:cs="Calibri"/>
                <w:color w:val="0D381F"/>
              </w:rPr>
              <w:t>CCXGFI has reviewed the Group’s Framework and evaluated the propose</w:t>
            </w:r>
            <w:r>
              <w:rPr>
                <w:rFonts w:ascii="Calibri" w:hAnsi="Calibri" w:cs="Calibri"/>
                <w:color w:val="0D381F"/>
              </w:rPr>
              <w:t>d use of proceeds.</w:t>
            </w:r>
          </w:p>
          <w:p w14:paraId="5121CDF3" w14:textId="77777777" w:rsidR="00D71E8E" w:rsidRDefault="00B43514">
            <w:pPr>
              <w:numPr>
                <w:ilvl w:val="0"/>
                <w:numId w:val="2"/>
              </w:numPr>
              <w:jc w:val="both"/>
            </w:pPr>
            <w:r>
              <w:rPr>
                <w:rFonts w:ascii="Calibri" w:hAnsi="Calibri" w:cs="Calibri"/>
                <w:color w:val="0D381F"/>
              </w:rPr>
              <w:t>The investments in eligible category are anticipated to deliver significant environmental benefits while contributing to the achievement of several UN Sustainable Development Goals, specifically SDGs 11 and 13. Additionally, the Group ha</w:t>
            </w:r>
            <w:r>
              <w:rPr>
                <w:rFonts w:ascii="Calibri" w:hAnsi="Calibri" w:cs="Calibri"/>
                <w:color w:val="0D381F"/>
              </w:rPr>
              <w:t>s identified a list of excluded project types based on the International Finance Corporation’s exclusion list and selected the most pertinent criteria relevant to its operational circumstances and business priorities.</w:t>
            </w:r>
          </w:p>
          <w:p w14:paraId="18E6C8E3" w14:textId="77777777" w:rsidR="00D71E8E" w:rsidRDefault="00B43514">
            <w:pPr>
              <w:numPr>
                <w:ilvl w:val="0"/>
                <w:numId w:val="2"/>
              </w:numPr>
              <w:jc w:val="both"/>
            </w:pPr>
            <w:r>
              <w:rPr>
                <w:rFonts w:ascii="Calibri" w:hAnsi="Calibri" w:cs="Calibri"/>
                <w:color w:val="0D381F"/>
              </w:rPr>
              <w:t xml:space="preserve">CCXGFI is of the opinion that the </w:t>
            </w:r>
            <w:r>
              <w:rPr>
                <w:rFonts w:ascii="Calibri" w:hAnsi="Calibri" w:cs="Calibri"/>
                <w:color w:val="0D381F"/>
              </w:rPr>
              <w:t>use of proceeds is clearly defined and in good alignment with the relevant requirement of the GBP2021 (with June 2022 Appendix I) and GLP2023.</w:t>
            </w:r>
          </w:p>
        </w:tc>
      </w:tr>
    </w:tbl>
    <w:p w14:paraId="68B55C44" w14:textId="77777777" w:rsidR="00D71E8E" w:rsidRDefault="00B43514">
      <w:pPr>
        <w:spacing w:beforeLines="50" w:before="163" w:after="160"/>
        <w:jc w:val="both"/>
      </w:pPr>
      <w:r>
        <w:rPr>
          <w:rFonts w:ascii="Calibri" w:hAnsi="Calibri" w:cs="Calibri"/>
        </w:rPr>
        <w:t xml:space="preserve">The Group will exclusively allocate an amount at least equivalent to the net proceeds of </w:t>
      </w:r>
      <w:r>
        <w:rPr>
          <w:rFonts w:ascii="Calibri" w:hAnsi="Calibri" w:cs="Calibri"/>
          <w:color w:val="FF0000"/>
        </w:rPr>
        <w:t>[9-3]</w:t>
      </w:r>
      <w:r>
        <w:rPr>
          <w:rFonts w:ascii="Calibri" w:hAnsi="Calibri"/>
        </w:rPr>
        <w:t xml:space="preserve">GFTs issued under </w:t>
      </w:r>
      <w:r>
        <w:rPr>
          <w:rFonts w:ascii="Calibri" w:hAnsi="Calibri"/>
        </w:rPr>
        <w:t>this Framework to finance or refinance, in whole or in part, new or existing projects which meet the eligibility criteria of the following eligible green projects categories, as defined in the Project Category table.</w:t>
      </w:r>
    </w:p>
    <w:p w14:paraId="10A19890" w14:textId="77777777" w:rsidR="00D71E8E" w:rsidRDefault="00B43514">
      <w:pPr>
        <w:spacing w:beforeLines="50" w:before="163" w:after="160"/>
        <w:jc w:val="both"/>
      </w:pPr>
      <w:r>
        <w:rPr>
          <w:rFonts w:ascii="Calibri" w:hAnsi="Calibri" w:cs="Calibri"/>
        </w:rPr>
        <w:t>The Group expects each issuance under t</w:t>
      </w:r>
      <w:r>
        <w:rPr>
          <w:rFonts w:ascii="Calibri" w:hAnsi="Calibri" w:cs="Calibri"/>
        </w:rPr>
        <w:t xml:space="preserve">his Framework to be fully allocated within 24 months from the date of issuance/borrowing and on a best-efforts basis. A maximum of 36 months look-back period would apply for refinanced projects. The proportion of financing and refinancing for the eligible </w:t>
      </w:r>
      <w:r>
        <w:rPr>
          <w:rFonts w:ascii="Calibri" w:hAnsi="Calibri" w:cs="Calibri"/>
        </w:rPr>
        <w:t>green projects will be disclosed in the Group’s allocation report.</w:t>
      </w:r>
    </w:p>
    <w:p w14:paraId="22668975" w14:textId="77777777" w:rsidR="00D71E8E" w:rsidRDefault="00B43514">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D71E8E" w14:paraId="18B96F37" w14:textId="77777777">
        <w:tc>
          <w:tcPr>
            <w:tcW w:w="4000" w:type="dxa"/>
            <w:shd w:val="clear" w:color="auto" w:fill="316729"/>
            <w:vAlign w:val="center"/>
          </w:tcPr>
          <w:p w14:paraId="52B4095F" w14:textId="77777777" w:rsidR="00D71E8E" w:rsidRDefault="00B43514">
            <w:r>
              <w:rPr>
                <w:rFonts w:ascii="Calibri" w:hAnsi="Calibri" w:cs="Calibri"/>
                <w:b/>
                <w:color w:val="FFFFFF"/>
              </w:rPr>
              <w:t>Principl</w:t>
            </w:r>
            <w:r>
              <w:rPr>
                <w:rFonts w:ascii="Calibri" w:hAnsi="Calibri" w:cs="Calibri"/>
                <w:b/>
                <w:color w:val="FFFFFF"/>
              </w:rPr>
              <w:t>es Requirement</w:t>
            </w:r>
          </w:p>
        </w:tc>
        <w:tc>
          <w:tcPr>
            <w:tcW w:w="4000" w:type="dxa"/>
            <w:shd w:val="clear" w:color="auto" w:fill="316729"/>
            <w:vAlign w:val="center"/>
          </w:tcPr>
          <w:p w14:paraId="5FD8605F" w14:textId="77777777" w:rsidR="00D71E8E" w:rsidRDefault="00B43514">
            <w:r>
              <w:rPr>
                <w:rFonts w:ascii="Calibri" w:hAnsi="Calibri" w:cs="Calibri"/>
                <w:b/>
                <w:color w:val="FFFFFF"/>
              </w:rPr>
              <w:t>Factual Finding</w:t>
            </w:r>
          </w:p>
        </w:tc>
        <w:tc>
          <w:tcPr>
            <w:tcW w:w="2440" w:type="dxa"/>
            <w:shd w:val="clear" w:color="auto" w:fill="316729"/>
            <w:vAlign w:val="center"/>
          </w:tcPr>
          <w:p w14:paraId="0AF5F4B5" w14:textId="77777777" w:rsidR="00D71E8E" w:rsidRDefault="00B43514">
            <w:r>
              <w:rPr>
                <w:rFonts w:ascii="Calibri" w:hAnsi="Calibri" w:cs="Calibri"/>
                <w:b/>
                <w:color w:val="FFFFFF"/>
              </w:rPr>
              <w:t>Alignment</w:t>
            </w:r>
          </w:p>
        </w:tc>
      </w:tr>
      <w:tr w:rsidR="00D71E8E" w14:paraId="365D5E62" w14:textId="77777777">
        <w:tc>
          <w:tcPr>
            <w:tcW w:w="0" w:type="auto"/>
            <w:tcBorders>
              <w:bottom w:val="dotted" w:sz="3" w:space="0" w:color="275317"/>
            </w:tcBorders>
            <w:shd w:val="clear" w:color="auto" w:fill="F4F9EB"/>
            <w:vAlign w:val="center"/>
          </w:tcPr>
          <w:p w14:paraId="1CEC51F2" w14:textId="77777777" w:rsidR="00D71E8E" w:rsidRDefault="00B43514">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311076E6" w14:textId="77777777" w:rsidR="00D71E8E" w:rsidRDefault="00B43514">
            <w:pPr>
              <w:jc w:val="both"/>
            </w:pPr>
            <w:r>
              <w:rPr>
                <w:rFonts w:ascii="Calibri" w:hAnsi="Calibri" w:cs="Calibri"/>
                <w:color w:val="0D381F"/>
                <w:shd w:val="clear" w:color="auto" w:fill="F4F9EB"/>
              </w:rPr>
              <w:t>The eligible green projects listed in the Framework all have clear environm</w:t>
            </w:r>
            <w:r>
              <w:rPr>
                <w:rFonts w:ascii="Calibri" w:hAnsi="Calibri" w:cs="Calibri"/>
                <w:color w:val="0D381F"/>
                <w:shd w:val="clear" w:color="auto" w:fill="F4F9EB"/>
              </w:rPr>
              <w:t>ental benefits.</w:t>
            </w:r>
          </w:p>
        </w:tc>
        <w:tc>
          <w:tcPr>
            <w:tcW w:w="0" w:type="auto"/>
            <w:tcBorders>
              <w:bottom w:val="dotted" w:sz="3" w:space="0" w:color="275317"/>
            </w:tcBorders>
            <w:shd w:val="clear" w:color="auto" w:fill="F4F9EB"/>
            <w:vAlign w:val="center"/>
          </w:tcPr>
          <w:p w14:paraId="5FAE220E" w14:textId="77777777" w:rsidR="00D71E8E" w:rsidRDefault="00B43514">
            <w:pPr>
              <w:jc w:val="center"/>
            </w:pPr>
            <w:r>
              <w:rPr>
                <w:rFonts w:ascii="Wingdings" w:hAnsi="Wingdings" w:cs="Wingdings"/>
                <w:color w:val="4EA72E"/>
                <w:sz w:val="36"/>
                <w:szCs w:val="36"/>
                <w:shd w:val="clear" w:color="auto" w:fill="F4F9EB"/>
              </w:rPr>
              <w:t>ü</w:t>
            </w:r>
          </w:p>
        </w:tc>
      </w:tr>
      <w:tr w:rsidR="00D71E8E" w14:paraId="60F77C29" w14:textId="77777777">
        <w:tc>
          <w:tcPr>
            <w:tcW w:w="0" w:type="auto"/>
            <w:tcBorders>
              <w:bottom w:val="dotted" w:sz="3" w:space="0" w:color="275317"/>
            </w:tcBorders>
            <w:shd w:val="clear" w:color="auto" w:fill="F4F9EB"/>
            <w:vAlign w:val="center"/>
          </w:tcPr>
          <w:p w14:paraId="36FAB3A3" w14:textId="77777777" w:rsidR="00D71E8E" w:rsidRDefault="00B43514">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4ACA4C7B" w14:textId="77777777" w:rsidR="00D71E8E" w:rsidRDefault="00B43514">
            <w:pPr>
              <w:jc w:val="both"/>
            </w:pPr>
            <w:r>
              <w:rPr>
                <w:rFonts w:ascii="Calibri" w:hAnsi="Calibri" w:cs="Calibri"/>
                <w:color w:val="0D381F"/>
                <w:shd w:val="clear" w:color="auto" w:fill="F4F9EB"/>
              </w:rPr>
              <w:t xml:space="preserve">The </w:t>
            </w:r>
            <w:r>
              <w:rPr>
                <w:rFonts w:ascii="Calibri" w:hAnsi="Calibri" w:cs="Calibri"/>
                <w:color w:val="0D381F"/>
                <w:shd w:val="clear" w:color="auto" w:fill="F4F9EB"/>
              </w:rPr>
              <w:t xml:space="preserve">Framework has declared that the net use of proceeds will exclusively finance and/or refinance, in part or in full, projects under the listed categories with a look-back period of no longer than 36 months from the time of </w:t>
            </w:r>
            <w:r>
              <w:rPr>
                <w:rFonts w:ascii="Calibri" w:hAnsi="Calibri" w:cs="Calibri"/>
                <w:color w:val="0D381F"/>
                <w:shd w:val="clear" w:color="auto" w:fill="F4F9EB"/>
              </w:rPr>
              <w:lastRenderedPageBreak/>
              <w:t>issuance, and the Group will provid</w:t>
            </w:r>
            <w:r>
              <w:rPr>
                <w:rFonts w:ascii="Calibri" w:hAnsi="Calibri" w:cs="Calibri"/>
                <w:color w:val="0D381F"/>
                <w:shd w:val="clear" w:color="auto" w:fill="F4F9EB"/>
              </w:rPr>
              <w:t>e an estimate of the share of financing vs. re-financing.</w:t>
            </w:r>
          </w:p>
        </w:tc>
        <w:tc>
          <w:tcPr>
            <w:tcW w:w="0" w:type="auto"/>
            <w:tcBorders>
              <w:bottom w:val="dotted" w:sz="3" w:space="0" w:color="275317"/>
            </w:tcBorders>
            <w:shd w:val="clear" w:color="auto" w:fill="F4F9EB"/>
            <w:vAlign w:val="center"/>
          </w:tcPr>
          <w:p w14:paraId="4DE4E379" w14:textId="77777777" w:rsidR="00D71E8E" w:rsidRDefault="00B43514">
            <w:pPr>
              <w:jc w:val="center"/>
            </w:pPr>
            <w:r>
              <w:rPr>
                <w:rFonts w:ascii="Wingdings" w:hAnsi="Wingdings" w:cs="Wingdings"/>
                <w:color w:val="4EA72E"/>
                <w:sz w:val="36"/>
                <w:szCs w:val="36"/>
                <w:shd w:val="clear" w:color="auto" w:fill="F4F9EB"/>
              </w:rPr>
              <w:lastRenderedPageBreak/>
              <w:t>ü</w:t>
            </w:r>
          </w:p>
        </w:tc>
      </w:tr>
      <w:tr w:rsidR="00D71E8E" w14:paraId="7592445E" w14:textId="77777777">
        <w:tc>
          <w:tcPr>
            <w:tcW w:w="0" w:type="auto"/>
            <w:tcBorders>
              <w:bottom w:val="dotted" w:sz="3" w:space="0" w:color="275317"/>
            </w:tcBorders>
            <w:shd w:val="clear" w:color="auto" w:fill="F4F9EB"/>
            <w:vAlign w:val="center"/>
          </w:tcPr>
          <w:p w14:paraId="11631D9E" w14:textId="77777777" w:rsidR="00D71E8E" w:rsidRDefault="00B43514">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2273FF61" w14:textId="77777777" w:rsidR="00D71E8E" w:rsidRDefault="00B43514">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71902EE" w14:textId="77777777" w:rsidR="00D71E8E" w:rsidRDefault="00B43514">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794"/>
        <w:gridCol w:w="5187"/>
        <w:gridCol w:w="1865"/>
        <w:gridCol w:w="1594"/>
      </w:tblGrid>
      <w:tr w:rsidR="00D71E8E" w14:paraId="6C8369A7" w14:textId="77777777">
        <w:tc>
          <w:tcPr>
            <w:tcW w:w="2000" w:type="dxa"/>
            <w:shd w:val="clear" w:color="auto" w:fill="316729"/>
            <w:vAlign w:val="center"/>
          </w:tcPr>
          <w:p w14:paraId="0755B72C" w14:textId="77777777" w:rsidR="00D71E8E" w:rsidRDefault="00B43514">
            <w:pPr>
              <w:jc w:val="center"/>
            </w:pPr>
            <w:r>
              <w:rPr>
                <w:rFonts w:ascii="Calibri" w:hAnsi="Calibri" w:cs="Calibri"/>
                <w:b/>
                <w:color w:val="FFFFFF"/>
              </w:rPr>
              <w:t>Green Project Category</w:t>
            </w:r>
          </w:p>
        </w:tc>
        <w:tc>
          <w:tcPr>
            <w:tcW w:w="6000" w:type="dxa"/>
            <w:shd w:val="clear" w:color="auto" w:fill="316729"/>
            <w:vAlign w:val="center"/>
          </w:tcPr>
          <w:p w14:paraId="7E60D18C" w14:textId="77777777" w:rsidR="00D71E8E" w:rsidRDefault="00B43514">
            <w:pPr>
              <w:jc w:val="center"/>
            </w:pPr>
            <w:r>
              <w:rPr>
                <w:rFonts w:ascii="Calibri" w:hAnsi="Calibri" w:cs="Calibri"/>
                <w:b/>
                <w:color w:val="FFFFFF"/>
              </w:rPr>
              <w:t>E</w:t>
            </w:r>
            <w:r>
              <w:rPr>
                <w:rFonts w:ascii="Calibri" w:hAnsi="Calibri" w:cs="Calibri"/>
                <w:b/>
                <w:color w:val="FFFFFF"/>
              </w:rPr>
              <w:t>ligible Projects Technical Screening Criteria</w:t>
            </w:r>
          </w:p>
        </w:tc>
        <w:tc>
          <w:tcPr>
            <w:tcW w:w="2000" w:type="dxa"/>
            <w:shd w:val="clear" w:color="auto" w:fill="316729"/>
            <w:vAlign w:val="center"/>
          </w:tcPr>
          <w:p w14:paraId="6353DB66" w14:textId="77777777" w:rsidR="00D71E8E" w:rsidRDefault="00B43514">
            <w:pPr>
              <w:jc w:val="center"/>
            </w:pPr>
            <w:r>
              <w:rPr>
                <w:rFonts w:ascii="Calibri" w:hAnsi="Calibri" w:cs="Calibri"/>
                <w:b/>
                <w:color w:val="FFFFFF"/>
              </w:rPr>
              <w:t>Identified Objective</w:t>
            </w:r>
          </w:p>
        </w:tc>
        <w:tc>
          <w:tcPr>
            <w:tcW w:w="1488" w:type="dxa"/>
            <w:shd w:val="clear" w:color="auto" w:fill="316729"/>
            <w:vAlign w:val="center"/>
          </w:tcPr>
          <w:p w14:paraId="2314B57E" w14:textId="77777777" w:rsidR="00D71E8E" w:rsidRDefault="00B43514">
            <w:pPr>
              <w:jc w:val="center"/>
            </w:pPr>
            <w:r>
              <w:rPr>
                <w:rFonts w:ascii="Calibri" w:hAnsi="Calibri" w:cs="Calibri"/>
                <w:b/>
                <w:color w:val="FFFFFF"/>
              </w:rPr>
              <w:t>Alignment</w:t>
            </w:r>
          </w:p>
        </w:tc>
      </w:tr>
      <w:tr w:rsidR="00D71E8E" w14:paraId="3D9C1DD6" w14:textId="77777777">
        <w:tc>
          <w:tcPr>
            <w:tcW w:w="2000" w:type="dxa"/>
            <w:shd w:val="clear" w:color="auto" w:fill="F4F9EB"/>
            <w:vAlign w:val="center"/>
          </w:tcPr>
          <w:p w14:paraId="0879256E" w14:textId="77777777" w:rsidR="00D71E8E" w:rsidRDefault="00B43514">
            <w:pPr>
              <w:jc w:val="center"/>
            </w:pPr>
            <w:r>
              <w:rPr>
                <w:rFonts w:ascii="Calibri" w:hAnsi="Calibri" w:cs="Calibri"/>
                <w:b/>
                <w:color w:val="0D381F"/>
              </w:rPr>
              <w:t>Green Building</w:t>
            </w:r>
          </w:p>
          <w:p w14:paraId="2A9DA6E2" w14:textId="77777777" w:rsidR="00D71E8E" w:rsidRDefault="00D71E8E">
            <w:pPr>
              <w:jc w:val="center"/>
            </w:pPr>
          </w:p>
          <w:p w14:paraId="7D17EF3C" w14:textId="77777777" w:rsidR="00D71E8E" w:rsidRDefault="00B43514">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A41C769" w14:textId="77777777" w:rsidR="00D71E8E" w:rsidRDefault="00B43514">
            <w:pPr>
              <w:numPr>
                <w:ilvl w:val="0"/>
                <w:numId w:val="2"/>
              </w:numPr>
              <w:ind w:left="240" w:hanging="300"/>
            </w:pPr>
            <w:r>
              <w:rPr>
                <w:rFonts w:ascii="Calibri" w:hAnsi="Calibri"/>
              </w:rPr>
              <w:t xml:space="preserve">Acquisition, construction, maintenance and renovation of building that have received, or expect to receive certified the below recognized </w:t>
            </w:r>
            <w:r>
              <w:rPr>
                <w:color w:val="FF0000"/>
              </w:rPr>
            </w:r>
            <w:r>
              <w:rPr>
                <w:rFonts w:ascii="Calibri" w:hAnsi="Calibri"/>
              </w:rPr>
              <w:t>green building</w:t>
            </w:r>
            <w:r>
              <w:rPr>
                <w:rFonts w:ascii="Calibri" w:hAnsi="Calibri"/>
              </w:rPr>
              <w:t xml:space="preserve"> certifications:</w:t>
            </w:r>
          </w:p>
          <w:p w14:paraId="688BCF4C" w14:textId="77777777" w:rsidR="00D71E8E" w:rsidRDefault="00B43514">
            <w:pPr>
              <w:numPr>
                <w:ilvl w:val="0"/>
                <w:numId w:val="3"/>
              </w:numPr>
              <w:ind w:left="520" w:hanging="300"/>
            </w:pPr>
            <w:r>
              <w:rPr>
                <w:rFonts w:ascii="Calibri" w:hAnsi="Calibri" w:cs="Calibri"/>
                <w:color w:val="0D381F"/>
                <w:shd w:val="clear" w:color="auto" w:fill="F4F9EB"/>
              </w:rPr>
              <w:t>Chinese Green Building Evaluation Label – 2 Star or above (Design / Operations Label); or</w:t>
            </w:r>
          </w:p>
          <w:p w14:paraId="569C93BD" w14:textId="77777777" w:rsidR="00D71E8E" w:rsidRDefault="00B43514">
            <w:pPr>
              <w:numPr>
                <w:ilvl w:val="0"/>
                <w:numId w:val="3"/>
              </w:numPr>
              <w:ind w:left="520" w:hanging="300"/>
            </w:pPr>
            <w:r>
              <w:rPr>
                <w:rFonts w:ascii="Calibri" w:hAnsi="Calibri" w:cs="Calibri"/>
                <w:color w:val="0D381F"/>
                <w:shd w:val="clear" w:color="auto" w:fill="F4F9EB"/>
              </w:rPr>
              <w:t>Building Research Establishment Environmental Assessment Method (BREEAM) – Excellent or above; or</w:t>
            </w:r>
          </w:p>
          <w:p w14:paraId="4FDCA089" w14:textId="77777777" w:rsidR="00D71E8E" w:rsidRDefault="00B43514">
            <w:pPr>
              <w:numPr>
                <w:ilvl w:val="0"/>
                <w:numId w:val="3"/>
              </w:numPr>
              <w:ind w:left="520" w:hanging="300"/>
            </w:pPr>
            <w:r>
              <w:rPr>
                <w:rFonts w:ascii="Calibri" w:hAnsi="Calibri" w:cs="Calibri"/>
                <w:color w:val="0D381F"/>
                <w:shd w:val="clear" w:color="auto" w:fill="F4F9EB"/>
              </w:rPr>
              <w:t>U.S. Leadership in Energy and Environmental Design (</w:t>
            </w:r>
            <w:r>
              <w:rPr>
                <w:rFonts w:ascii="Calibri" w:hAnsi="Calibri" w:cs="Calibri"/>
                <w:color w:val="0D381F"/>
                <w:shd w:val="clear" w:color="auto" w:fill="F4F9EB"/>
              </w:rPr>
              <w:t>LEED) – Gold or above; or</w:t>
            </w:r>
          </w:p>
          <w:p w14:paraId="5E0790AB" w14:textId="77777777" w:rsidR="00D71E8E" w:rsidRDefault="00B43514">
            <w:pPr>
              <w:numPr>
                <w:ilvl w:val="0"/>
                <w:numId w:val="3"/>
              </w:numPr>
              <w:ind w:left="520" w:hanging="300"/>
            </w:pPr>
            <w:r>
              <w:rPr>
                <w:rFonts w:ascii="Calibri" w:hAnsi="Calibri" w:cs="Calibri"/>
                <w:color w:val="0D381F"/>
                <w:shd w:val="clear" w:color="auto" w:fill="F4F9EB"/>
              </w:rPr>
              <w:t>Hong Kong BEAM Plus – Gold or above; or</w:t>
            </w:r>
          </w:p>
          <w:p w14:paraId="6345D559" w14:textId="77777777" w:rsidR="00D71E8E" w:rsidRDefault="00B43514">
            <w:pPr>
              <w:numPr>
                <w:ilvl w:val="0"/>
                <w:numId w:val="3"/>
              </w:numPr>
              <w:ind w:left="520" w:hanging="300"/>
            </w:pPr>
            <w:r>
              <w:rPr>
                <w:rFonts w:ascii="Calibri" w:hAnsi="Calibri" w:cs="Calibri"/>
                <w:color w:val="0D381F"/>
                <w:shd w:val="clear" w:color="auto" w:fill="F4F9EB"/>
              </w:rPr>
              <w:t>Building and Construction Authority (BCA) Green Mark – Gold or above; or</w:t>
            </w:r>
          </w:p>
          <w:p w14:paraId="0916A063" w14:textId="77777777" w:rsidR="00D71E8E" w:rsidRDefault="00B43514">
            <w:pPr>
              <w:numPr>
                <w:ilvl w:val="0"/>
                <w:numId w:val="3"/>
              </w:numPr>
              <w:ind w:left="520" w:hanging="300"/>
            </w:pPr>
            <w:r>
              <w:rPr>
                <w:rFonts w:ascii="Calibri" w:hAnsi="Calibri" w:cs="Calibri"/>
                <w:color w:val="0D381F"/>
                <w:shd w:val="clear" w:color="auto" w:fill="F4F9EB"/>
              </w:rPr>
              <w:t>Construction of Ultra-Low Energy Consumption Buildings: Construction of public and residential buildings adapted to c</w:t>
            </w:r>
            <w:r>
              <w:rPr>
                <w:rFonts w:ascii="Calibri" w:hAnsi="Calibri" w:cs="Calibri"/>
                <w:color w:val="0D381F"/>
                <w:shd w:val="clear" w:color="auto" w:fill="F4F9EB"/>
              </w:rPr>
              <w:t>limate characteristics and site-specific conditions that reduce the demand for heating, air conditioning and lighting through passive building designs, and adopt active technical measures to improve the efficiency of building energy equipment and systems i</w:t>
            </w:r>
            <w:r>
              <w:rPr>
                <w:rFonts w:ascii="Calibri" w:hAnsi="Calibri" w:cs="Calibri"/>
                <w:color w:val="0D381F"/>
                <w:shd w:val="clear" w:color="auto" w:fill="F4F9EB"/>
              </w:rPr>
              <w:t>n the public and residential building as well as the acquisition of consumption. The technical indicators of the building shall meet the requirements of the “Technical Standard for Near-Zero Energy Building” (GB/T 51350) which is commonly used in China and</w:t>
            </w:r>
            <w:r>
              <w:rPr>
                <w:rFonts w:ascii="Calibri" w:hAnsi="Calibri" w:cs="Calibri"/>
                <w:color w:val="0D381F"/>
                <w:shd w:val="clear" w:color="auto" w:fill="F4F9EB"/>
              </w:rPr>
              <w:t xml:space="preserve"> broadly equivalent to the international standards; or</w:t>
            </w:r>
          </w:p>
          <w:p w14:paraId="44139C67" w14:textId="77777777" w:rsidR="00D71E8E" w:rsidRDefault="00B43514">
            <w:pPr>
              <w:numPr>
                <w:ilvl w:val="0"/>
                <w:numId w:val="3"/>
              </w:numPr>
              <w:ind w:left="520" w:hanging="300"/>
            </w:pPr>
            <w:r>
              <w:rPr>
                <w:rFonts w:ascii="Calibri" w:hAnsi="Calibri"/>
              </w:rPr>
              <w:t xml:space="preserve">Green Warehousing Logistics: Construction, operation and renovation of logistics warehouses in accordance with the national </w:t>
            </w:r>
            <w:r>
              <w:rPr>
                <w:color w:val="FF0000"/>
              </w:rPr>
            </w:r>
            <w:r>
              <w:rPr>
                <w:rFonts w:ascii="Calibri" w:hAnsi="Calibri"/>
              </w:rPr>
              <w:t>green building</w:t>
            </w:r>
            <w:r>
              <w:rPr>
                <w:rFonts w:ascii="Calibri" w:hAnsi="Calibri"/>
              </w:rPr>
              <w:t xml:space="preserve"> codes and standards, for which they have obtained national </w:t>
            </w:r>
            <w:r>
              <w:rPr>
                <w:color w:val="FF0000"/>
              </w:rPr>
            </w:r>
            <w:r>
              <w:rPr>
                <w:rFonts w:ascii="Calibri" w:hAnsi="Calibri"/>
              </w:rPr>
              <w:t>green building</w:t>
            </w:r>
            <w:r>
              <w:rPr>
                <w:rFonts w:ascii="Calibri" w:hAnsi="Calibri"/>
              </w:rPr>
              <w:t xml:space="preserve"> evaluation marks. For example, the technical indicators of green logistics warehouse building shall meet the requirements of 2 Star or above of the “Green Warehouse Requirements and Evaluation” (SB/T 11164) which is commonly used in China and broadly equivalent to the international standards; or</w:t>
            </w:r>
          </w:p>
          <w:p w14:paraId="3F63FC3A" w14:textId="77777777" w:rsidR="00D71E8E" w:rsidRDefault="00B43514">
            <w:pPr>
              <w:numPr>
                <w:ilvl w:val="0"/>
                <w:numId w:val="3"/>
              </w:numPr>
              <w:ind w:left="520" w:hanging="300"/>
            </w:pPr>
            <w:r>
              <w:rPr>
                <w:rFonts w:ascii="Calibri" w:hAnsi="Calibri"/>
              </w:rPr>
              <w:t xml:space="preserve">Any other </w:t>
            </w:r>
            <w:r>
              <w:rPr>
                <w:color w:val="FF0000"/>
              </w:rPr>
            </w:r>
            <w:r>
              <w:rPr>
                <w:rFonts w:ascii="Calibri" w:hAnsi="Calibri"/>
              </w:rPr>
              <w:t>green building</w:t>
            </w:r>
            <w:r>
              <w:rPr>
                <w:rFonts w:ascii="Calibri" w:hAnsi="Calibri"/>
              </w:rPr>
              <w:t xml:space="preserve"> label, that is an equivalent standard of the above (Note: To determine the equivalency of other </w:t>
            </w:r>
            <w:r>
              <w:rPr>
                <w:color w:val="FF0000"/>
              </w:rPr>
            </w:r>
            <w:r>
              <w:rPr>
                <w:rFonts w:ascii="Calibri" w:hAnsi="Calibri"/>
              </w:rPr>
              <w:t>green building</w:t>
            </w:r>
            <w:r>
              <w:t xml:space="preserve"> labels, the </w:t>
            </w:r>
            <w:r>
              <w:rPr>
                <w:color w:val="FF0000"/>
              </w:rPr>
              <w:t>[8-1]</w:t>
            </w:r>
            <w:r>
              <w:rPr/>
              <w:t>Company can compare their criteria with established standards, check for benchmarking, third-party validation, regulatory acceptance, and industry recognition.);</w:t>
            </w:r>
          </w:p>
          <w:p w14:paraId="79D00A9E" w14:textId="77777777" w:rsidR="00D71E8E" w:rsidRDefault="00B43514">
            <w:pPr>
              <w:numPr>
                <w:ilvl w:val="0"/>
                <w:numId w:val="3"/>
              </w:numPr>
              <w:ind w:left="520" w:hanging="300"/>
            </w:pPr>
            <w:r>
              <w:rPr>
                <w:rFonts w:ascii="Calibri" w:hAnsi="Calibri" w:cs="Calibri"/>
                <w:color w:val="0D381F"/>
                <w:shd w:val="clear" w:color="auto" w:fill="F4F9EB"/>
              </w:rPr>
              <w:t>A maximum 3-year timeframe would be required for properties/buildings to obtain the green certification under this framework. All eligible properties</w:t>
            </w:r>
            <w:r>
              <w:rPr>
                <w:rFonts w:ascii="Calibri" w:hAnsi="Calibri" w:cs="Calibri"/>
                <w:color w:val="0D381F"/>
                <w:shd w:val="clear" w:color="auto" w:fill="F4F9EB"/>
              </w:rPr>
              <w:t xml:space="preserve">/buildings will have a pre-design green </w:t>
            </w:r>
            <w:proofErr w:type="gramStart"/>
            <w:r>
              <w:rPr>
                <w:rFonts w:ascii="Calibri" w:hAnsi="Calibri" w:cs="Calibri"/>
                <w:color w:val="0D381F"/>
                <w:shd w:val="clear" w:color="auto" w:fill="F4F9EB"/>
              </w:rPr>
              <w:t>certification.(</w:t>
            </w:r>
            <w:proofErr w:type="gramEnd"/>
            <w:r>
              <w:rPr>
                <w:rFonts w:ascii="Calibri" w:hAnsi="Calibri" w:cs="Calibri"/>
                <w:color w:val="0D381F"/>
                <w:shd w:val="clear" w:color="auto" w:fill="F4F9EB"/>
              </w:rPr>
              <w:t xml:space="preserve">Note: The 3-year timeframe is based on typical construction and certification processes, which include design, construction, and post-construction review. This duration allows for potential delays and </w:t>
            </w:r>
            <w:r>
              <w:rPr>
                <w:rFonts w:ascii="Calibri" w:hAnsi="Calibri" w:cs="Calibri"/>
                <w:color w:val="0D381F"/>
                <w:shd w:val="clear" w:color="auto" w:fill="F4F9EB"/>
              </w:rPr>
              <w:t xml:space="preserve">adjustments in the project. If buildings do not receive the green certification within 3 years, they would no longer be eligible under this framework. The </w:t>
            </w:r>
            <w:r>
              <w:rPr>
                <w:rFonts w:ascii="Calibri" w:hAnsi="Calibri" w:cs="Calibri"/>
                <w:color w:val="FF0000"/>
                <w:shd w:val="clear" w:color="auto" w:fill="F4F9EB"/>
              </w:rPr>
            </w:r>
            <w:r>
              <w:rPr>
                <w:rFonts w:ascii="Calibri" w:hAnsi="Calibri"/>
                <w:color w:val="FF0000"/>
              </w:rPr>
              <w:t>[8-2]</w:t>
            </w:r>
            <w:r>
              <w:rPr>
                <w:rFonts w:ascii="Calibri" w:hAnsi="Calibri"/>
                <w:color w:val="0D381F"/>
              </w:rPr>
              <w:t>Company should consider extending the deadline on a case-by-case basis, considering reasons for delay</w:t>
            </w:r>
            <w:r>
              <w:rPr>
                <w:rFonts w:ascii="Calibri" w:hAnsi="Calibri"/>
                <w:color w:val="0D381F"/>
              </w:rPr>
              <w:t>, but ultimately, the goal is to promote timely compliance with green certification standards.)</w:t>
            </w:r>
          </w:p>
          <w:p w14:paraId="3D344F87" w14:textId="77777777" w:rsidR="00D71E8E" w:rsidRDefault="00B43514">
            <w:pPr>
              <w:numPr>
                <w:ilvl w:val="0"/>
                <w:numId w:val="3"/>
              </w:numPr>
              <w:ind w:left="520" w:hanging="300"/>
            </w:pPr>
            <w:r>
              <w:rPr>
                <w:rFonts w:ascii="Calibri" w:hAnsi="Calibri" w:cs="Calibri"/>
                <w:color w:val="0D381F"/>
                <w:shd w:val="clear" w:color="auto" w:fill="F4F9EB"/>
              </w:rPr>
              <w:t xml:space="preserve">In terms of energy performance, renovations should aim to achieve at least a 15% reduction in energy consumption compared to the baseline, which is the </w:t>
            </w:r>
            <w:r>
              <w:rPr>
                <w:rFonts w:ascii="Calibri" w:hAnsi="Calibri" w:cs="Calibri"/>
                <w:color w:val="0D381F"/>
                <w:shd w:val="clear" w:color="auto" w:fill="F4F9EB"/>
              </w:rPr>
              <w:t>building’s energy consumption before the renovations</w:t>
            </w:r>
          </w:p>
          <w:p w14:paraId="1ADBB8E6" w14:textId="77777777" w:rsidR="00D71E8E" w:rsidRDefault="00B43514">
            <w:pPr>
              <w:numPr>
                <w:ilvl w:val="0"/>
                <w:numId w:val="3"/>
              </w:numPr>
              <w:ind w:left="520" w:hanging="300"/>
            </w:pPr>
            <w:r>
              <w:rPr>
                <w:rFonts w:ascii="Calibri" w:hAnsi="Calibri"/>
              </w:rPr>
              <w:t xml:space="preserve">As for green certification, the renovations are expected to lead to an improvement in the building’s green certification level. The green certification level should be upgraded by at least one level according to a recognized </w:t>
            </w:r>
            <w:r>
              <w:rPr>
                <w:color w:val="FF0000"/>
              </w:rPr>
            </w:r>
            <w:r>
              <w:rPr>
                <w:rFonts w:ascii="Calibri" w:hAnsi="Calibri"/>
              </w:rPr>
              <w:t>green building</w:t>
            </w:r>
            <w:r>
              <w:rPr>
                <w:rFonts w:ascii="Calibri" w:hAnsi="Calibri"/>
              </w:rPr>
              <w:t xml:space="preserve"> certification system, such as LEED or BREEAM.</w:t>
            </w:r>
            <w:r>
              <w:rPr>
                <w:color w:val="FF0000"/>
              </w:rPr>
            </w:r>
          </w:p>
        </w:tc>
        <w:tc>
          <w:tcPr>
            <w:tcW w:w="2000" w:type="dxa"/>
            <w:shd w:val="clear" w:color="auto" w:fill="F4F9EB"/>
            <w:vAlign w:val="center"/>
          </w:tcPr>
          <w:p w14:paraId="7A5114A3" w14:textId="77777777" w:rsidR="00D71E8E" w:rsidRDefault="00B43514">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13919D31" w14:textId="77777777" w:rsidR="00D71E8E" w:rsidRDefault="00B43514">
            <w:pPr>
              <w:numPr>
                <w:ilvl w:val="0"/>
                <w:numId w:val="2"/>
              </w:numPr>
              <w:ind w:left="240" w:hanging="300"/>
            </w:pPr>
            <w:r>
              <w:rPr>
                <w:rFonts w:ascii="Calibri" w:hAnsi="Calibri" w:cs="Calibri"/>
                <w:color w:val="0D381F"/>
                <w:shd w:val="clear" w:color="auto" w:fill="F4F9EB"/>
              </w:rPr>
              <w:t>GBP2021</w:t>
            </w:r>
          </w:p>
          <w:p w14:paraId="54480A89" w14:textId="77777777" w:rsidR="00D71E8E" w:rsidRDefault="00B43514">
            <w:pPr>
              <w:numPr>
                <w:ilvl w:val="0"/>
                <w:numId w:val="2"/>
              </w:numPr>
              <w:ind w:left="240" w:hanging="300"/>
            </w:pPr>
            <w:r>
              <w:rPr>
                <w:rFonts w:ascii="Calibri" w:hAnsi="Calibri" w:cs="Calibri"/>
                <w:color w:val="0D381F"/>
                <w:shd w:val="clear" w:color="auto" w:fill="F4F9EB"/>
              </w:rPr>
              <w:t>GLP2023</w:t>
            </w:r>
          </w:p>
          <w:p w14:paraId="6AC90A46" w14:textId="77777777" w:rsidR="00D71E8E" w:rsidRDefault="00B43514">
            <w:pPr>
              <w:numPr>
                <w:ilvl w:val="0"/>
                <w:numId w:val="2"/>
              </w:numPr>
              <w:ind w:left="240" w:hanging="300"/>
            </w:pPr>
            <w:r>
              <w:rPr>
                <w:rFonts w:ascii="Calibri" w:hAnsi="Calibri" w:cs="Calibri"/>
                <w:color w:val="0D381F"/>
                <w:shd w:val="clear" w:color="auto" w:fill="F4F9EB"/>
              </w:rPr>
              <w:t>GBEPC2021 – 5.2.1.6</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lastRenderedPageBreak/>
        <w:t>In any case, this Framework will exclude the following activities from consideration for eligibility:</w:t>
      </w:r>
    </w:p>
    <w:p w14:paraId="29315EB4" w14:textId="77777777" w:rsidR="00D71E8E" w:rsidRDefault="00B43514">
      <w:pPr>
        <w:numPr>
          <w:ilvl w:val="0"/>
          <w:numId w:val="2"/>
        </w:numPr>
        <w:spacing w:beforeLines="50" w:before="163" w:after="160"/>
        <w:ind w:left="720"/>
        <w:jc w:val="both"/>
      </w:pPr>
      <w:r>
        <w:rPr>
          <w:rFonts w:ascii="Calibri" w:hAnsi="Calibri" w:cs="Calibri"/>
        </w:rPr>
        <w:t>Producti</w:t>
      </w:r>
      <w:r>
        <w:rPr>
          <w:rFonts w:ascii="Calibri" w:hAnsi="Calibri" w:cs="Calibri"/>
        </w:rPr>
        <w:t>on or trade in any product or activity deemed illegal under host country laws or regulations or international conventions and agreements, or subject to international bans, such as pharmaceuticals, pesticides/herbicides, ozone-depleting substances, polychlo</w:t>
      </w:r>
      <w:r>
        <w:rPr>
          <w:rFonts w:ascii="Calibri" w:hAnsi="Calibri" w:cs="Calibri"/>
        </w:rPr>
        <w:t>rinated biphenyls (PCBs), wildlife or products regulated under the Convention on International Trade in Endangered Species of Wild Fauna and Flora (CITES).</w:t>
      </w:r>
    </w:p>
    <w:p w14:paraId="660AEF90" w14:textId="77777777" w:rsidR="00D71E8E" w:rsidRDefault="00B43514">
      <w:pPr>
        <w:numPr>
          <w:ilvl w:val="0"/>
          <w:numId w:val="2"/>
        </w:numPr>
        <w:spacing w:beforeLines="50" w:before="163" w:after="160"/>
        <w:ind w:left="720"/>
        <w:jc w:val="both"/>
      </w:pPr>
      <w:r>
        <w:rPr>
          <w:rFonts w:ascii="Calibri" w:hAnsi="Calibri" w:cs="Calibri"/>
        </w:rPr>
        <w:t>Production or trade in weapons and munitions.</w:t>
      </w:r>
    </w:p>
    <w:p w14:paraId="4C954ECA" w14:textId="77777777" w:rsidR="00D71E8E" w:rsidRDefault="00B43514">
      <w:pPr>
        <w:numPr>
          <w:ilvl w:val="0"/>
          <w:numId w:val="2"/>
        </w:numPr>
        <w:spacing w:beforeLines="50" w:before="163" w:after="160"/>
        <w:ind w:left="720"/>
        <w:jc w:val="both"/>
      </w:pPr>
      <w:r>
        <w:rPr>
          <w:rFonts w:ascii="Calibri" w:hAnsi="Calibri" w:cs="Calibri"/>
        </w:rPr>
        <w:t xml:space="preserve">Production or trade in alcoholic beverages (excluding </w:t>
      </w:r>
      <w:r>
        <w:rPr>
          <w:rFonts w:ascii="Calibri" w:hAnsi="Calibri" w:cs="Calibri"/>
        </w:rPr>
        <w:t>beer and wine).</w:t>
      </w:r>
    </w:p>
    <w:p w14:paraId="16FC6F4E" w14:textId="77777777" w:rsidR="00D71E8E" w:rsidRDefault="00B43514">
      <w:pPr>
        <w:numPr>
          <w:ilvl w:val="0"/>
          <w:numId w:val="2"/>
        </w:numPr>
        <w:spacing w:beforeLines="50" w:before="163" w:after="160"/>
        <w:ind w:left="720"/>
        <w:jc w:val="both"/>
      </w:pPr>
      <w:r>
        <w:rPr>
          <w:rFonts w:ascii="Calibri" w:hAnsi="Calibri" w:cs="Calibri"/>
        </w:rPr>
        <w:t>Production or trade in tobacco.</w:t>
      </w:r>
    </w:p>
    <w:p w14:paraId="6D46C798" w14:textId="77777777" w:rsidR="00D71E8E" w:rsidRDefault="00B43514">
      <w:pPr>
        <w:numPr>
          <w:ilvl w:val="0"/>
          <w:numId w:val="2"/>
        </w:numPr>
        <w:spacing w:beforeLines="50" w:before="163" w:after="160"/>
        <w:ind w:left="720"/>
        <w:jc w:val="both"/>
      </w:pPr>
      <w:r>
        <w:rPr>
          <w:rFonts w:ascii="Calibri" w:hAnsi="Calibri" w:cs="Calibri"/>
        </w:rPr>
        <w:t>Gambling, casinos, and equivalent enterprises.</w:t>
      </w:r>
    </w:p>
    <w:p w14:paraId="4F63FE44" w14:textId="77777777" w:rsidR="00D71E8E" w:rsidRDefault="00B43514">
      <w:pPr>
        <w:numPr>
          <w:ilvl w:val="0"/>
          <w:numId w:val="2"/>
        </w:numPr>
        <w:spacing w:beforeLines="50" w:before="163" w:after="160"/>
        <w:ind w:left="720"/>
        <w:jc w:val="both"/>
      </w:pPr>
      <w:r>
        <w:rPr>
          <w:rFonts w:ascii="Calibri" w:hAnsi="Calibri" w:cs="Calibri"/>
        </w:rPr>
        <w:t xml:space="preserve">Production or trade in radioactive materials. This does not apply to the purchase of medical equipment, quality control (measurement) equipment and any </w:t>
      </w:r>
      <w:r>
        <w:rPr>
          <w:rFonts w:ascii="Calibri" w:hAnsi="Calibri" w:cs="Calibri"/>
        </w:rPr>
        <w:t>equipment where any international financial company considers the radioactive source to be trivial and/or adequately shielded.</w:t>
      </w:r>
    </w:p>
    <w:p w14:paraId="4A1E4DD8" w14:textId="77777777" w:rsidR="00D71E8E" w:rsidRDefault="00B43514">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bonded asbestos cement sheeting w</w:t>
      </w:r>
      <w:r>
        <w:rPr>
          <w:rFonts w:ascii="Calibri" w:hAnsi="Calibri" w:cs="Calibri"/>
        </w:rPr>
        <w:t>here the asbestos content is less than 20 per cent.</w:t>
      </w:r>
    </w:p>
    <w:p w14:paraId="079D3AD4" w14:textId="77777777" w:rsidR="00D71E8E" w:rsidRDefault="00B43514">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35E684F3" w14:textId="77777777" w:rsidR="00D71E8E" w:rsidRDefault="00B43514">
      <w:pPr>
        <w:numPr>
          <w:ilvl w:val="0"/>
          <w:numId w:val="2"/>
        </w:numPr>
        <w:spacing w:beforeLines="50" w:before="163" w:after="160"/>
        <w:ind w:left="720"/>
        <w:jc w:val="both"/>
      </w:pPr>
      <w:r>
        <w:rPr>
          <w:rFonts w:ascii="Calibri" w:hAnsi="Calibri" w:cs="Calibri"/>
        </w:rPr>
        <w:t>Production or activities involving harmful or exploitative forms of forced labour/harmful child labour.</w:t>
      </w:r>
    </w:p>
    <w:p w14:paraId="67871F03" w14:textId="77777777" w:rsidR="00D71E8E" w:rsidRDefault="00B43514">
      <w:pPr>
        <w:numPr>
          <w:ilvl w:val="0"/>
          <w:numId w:val="2"/>
        </w:numPr>
        <w:spacing w:beforeLines="50" w:before="163" w:after="160"/>
        <w:ind w:left="720"/>
        <w:jc w:val="both"/>
      </w:pPr>
      <w:r>
        <w:rPr>
          <w:rFonts w:ascii="Calibri" w:hAnsi="Calibri" w:cs="Calibri"/>
        </w:rPr>
        <w:t>Commercial log</w:t>
      </w:r>
      <w:r>
        <w:rPr>
          <w:rFonts w:ascii="Calibri" w:hAnsi="Calibri" w:cs="Calibri"/>
        </w:rPr>
        <w:t>ging operations for use in primary tropical forest.</w:t>
      </w:r>
    </w:p>
    <w:p w14:paraId="45BDB3E5" w14:textId="77777777" w:rsidR="00D71E8E" w:rsidRDefault="00B43514">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250E6F6F" w14:textId="77777777" w:rsidR="00D71E8E" w:rsidRDefault="00B43514">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35D5C0A1" w14:textId="77777777" w:rsidR="00D71E8E" w:rsidRDefault="00B43514">
            <w:pPr>
              <w:numPr>
                <w:ilvl w:val="0"/>
                <w:numId w:val="2"/>
              </w:numPr>
              <w:jc w:val="both"/>
            </w:pPr>
            <w:r>
              <w:rPr>
                <w:rFonts w:ascii="Calibri" w:hAnsi="Calibri" w:cs="Calibri"/>
                <w:color w:val="0D381F"/>
              </w:rPr>
              <w:t>The Group has built a multi-layer control structure w</w:t>
            </w:r>
            <w:r>
              <w:rPr>
                <w:rFonts w:ascii="Calibri" w:hAnsi="Calibri" w:cs="Calibri"/>
                <w:color w:val="0D381F"/>
              </w:rPr>
              <w:t>ith different business departments and set up a reasonable process for project evaluation and selection.</w:t>
            </w:r>
          </w:p>
          <w:p w14:paraId="644BA904" w14:textId="77777777" w:rsidR="00D71E8E" w:rsidRDefault="00B43514">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GBP2</w:t>
            </w:r>
            <w:r>
              <w:rPr>
                <w:rFonts w:ascii="Calibri" w:hAnsi="Calibri" w:cs="Calibri"/>
                <w:color w:val="0D381F"/>
              </w:rPr>
              <w:t>021 (with June 2022 Appendix I) and GLP2023.</w:t>
            </w:r>
          </w:p>
        </w:tc>
      </w:tr>
    </w:tbl>
    <w:p w14:paraId="459FF810" w14:textId="77777777" w:rsidR="00D71E8E" w:rsidRDefault="00B43514">
      <w:pPr>
        <w:spacing w:beforeLines="50" w:before="163" w:after="160"/>
        <w:jc w:val="both"/>
      </w:pPr>
      <w:r>
        <w:rPr>
          <w:rFonts w:ascii="Calibri" w:hAnsi="Calibri" w:cs="Calibri"/>
          <w:color w:val="FF0000"/>
        </w:rPr>
        <w:t>[9-15]</w:t>
      </w:r>
      <w:r>
        <w:rPr>
          <w:rFonts w:ascii="Calibri" w:hAnsi="Calibri" w:cs="Calibri"/>
        </w:rPr>
        <w:t xml:space="preserve">GFWG of the Group consists of senior management members from various functions, including the Investment Department, General Department, Finance Department and General Office, Discipline Inspection and </w:t>
      </w:r>
      <w:r>
        <w:rPr>
          <w:rFonts w:ascii="Calibri" w:hAnsi="Calibri"/>
        </w:rPr>
        <w:t>Supervision Office.</w:t>
      </w:r>
    </w:p>
    <w:p w14:paraId="24FC5016" w14:textId="77777777" w:rsidR="00D71E8E" w:rsidRDefault="00B43514">
      <w:pPr>
        <w:spacing w:beforeLines="50" w:before="163" w:after="160"/>
        <w:jc w:val="both"/>
      </w:pPr>
      <w:r>
        <w:rPr>
          <w:rFonts w:ascii="Calibri" w:hAnsi="Calibri" w:cs="Calibri"/>
          <w:color w:val="FF0000"/>
        </w:rPr>
        <w:t>[9-16]</w:t>
      </w:r>
      <w:r>
        <w:rPr>
          <w:rFonts w:ascii="Calibri" w:hAnsi="Calibri" w:cs="Calibri"/>
        </w:rPr>
        <w:t>GFWG meets at least twice a year, aiming for even distribution throughout the year. Its responsibilities include ratifying eligible green projects, monitoring the asset pool to ensure project eligibility, and managing updates to the fra</w:t>
      </w:r>
      <w:r>
        <w:rPr>
          <w:rFonts w:ascii="Calibri" w:hAnsi="Calibri"/>
        </w:rPr>
        <w:t>mework. GFWG also ensures that project approvals follow the company’s existing credit/loan/investment processes.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lastRenderedPageBreak/>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7E992066" w14:textId="77777777" w:rsidR="00D71E8E" w:rsidRDefault="00B43514">
      <w:pPr>
        <w:numPr>
          <w:ilvl w:val="0"/>
          <w:numId w:val="20"/>
        </w:numPr>
        <w:spacing w:beforeLines="50" w:before="163" w:after="160"/>
        <w:ind w:left="720"/>
        <w:jc w:val="both"/>
      </w:pPr>
      <w:r>
        <w:rPr>
          <w:rFonts w:ascii="Calibri" w:hAnsi="Calibri" w:cs="Calibri"/>
        </w:rPr>
        <w:t xml:space="preserve">Discuss and select Eligible Green Projects </w:t>
      </w:r>
      <w:r>
        <w:rPr>
          <w:rFonts w:ascii="Calibri" w:hAnsi="Calibri" w:cs="Calibri"/>
        </w:rPr>
        <w:t>according to the eligibility and exclusion criteria defined in section 1 of this Framework.</w:t>
      </w:r>
    </w:p>
    <w:p w14:paraId="537CE309" w14:textId="77777777" w:rsidR="00D71E8E" w:rsidRDefault="00B43514">
      <w:pPr>
        <w:numPr>
          <w:ilvl w:val="0"/>
          <w:numId w:val="20"/>
        </w:numPr>
        <w:spacing w:beforeLines="50" w:before="163" w:after="160"/>
        <w:ind w:left="720"/>
        <w:jc w:val="both"/>
      </w:pPr>
      <w:r>
        <w:rPr>
          <w:rFonts w:ascii="Calibri" w:hAnsi="Calibri"/>
        </w:rPr>
        <w:t xml:space="preserve">Prioritize selecting projects that comply with Energy Saving Regulation of the People’s Republic of China, </w:t>
      </w:r>
      <w:r>
        <w:rPr>
          <w:color w:val="FF0000"/>
        </w:rPr>
      </w:r>
      <w:r>
        <w:rPr>
          <w:rFonts w:ascii="Calibri" w:hAnsi="Calibri"/>
        </w:rPr>
        <w:t>Green building</w:t>
      </w:r>
      <w:r>
        <w:rPr>
          <w:rFonts w:ascii="Calibri" w:hAnsi="Calibri"/>
        </w:rPr>
        <w:t xml:space="preserve"> Evaluation Standard and other related Policies and Regulations enforcing sustainability considerations.</w:t>
      </w:r>
    </w:p>
    <w:p w14:paraId="791EC561" w14:textId="77777777" w:rsidR="00D71E8E" w:rsidRDefault="00B43514">
      <w:pPr>
        <w:numPr>
          <w:ilvl w:val="0"/>
          <w:numId w:val="20"/>
        </w:numPr>
        <w:spacing w:beforeLines="50" w:before="163" w:after="160"/>
        <w:ind w:left="720"/>
        <w:jc w:val="both"/>
      </w:pPr>
      <w:r>
        <w:rPr>
          <w:rFonts w:ascii="Calibri" w:hAnsi="Calibri" w:cs="Calibri"/>
        </w:rPr>
        <w:t>Measure each project by its feasibility report. The feasibility report measures project by assessing its investment necessity, feasibility in terms of both technical and financial aspects, the r</w:t>
      </w:r>
      <w:r>
        <w:rPr>
          <w:rFonts w:ascii="Calibri" w:hAnsi="Calibri" w:cs="Calibri"/>
        </w:rPr>
        <w:t xml:space="preserve">atio of return against cost, potential environmental impact and metrics in the framework section 1 to measure eligibility of green projects. The feasibility report is usually conducted by the </w:t>
      </w:r>
      <w:proofErr w:type="gramStart"/>
      <w:r>
        <w:rPr>
          <w:rFonts w:ascii="Calibri" w:hAnsi="Calibri" w:cs="Calibri"/>
        </w:rPr>
        <w:t>third party</w:t>
      </w:r>
      <w:proofErr w:type="gramEnd"/>
      <w:r>
        <w:rPr>
          <w:rFonts w:ascii="Calibri" w:hAnsi="Calibri" w:cs="Calibri"/>
        </w:rPr>
        <w:t xml:space="preserve"> agent or professional consultant team. The report sc</w:t>
      </w:r>
      <w:r>
        <w:rPr>
          <w:rFonts w:ascii="Calibri" w:hAnsi="Calibri" w:cs="Calibri"/>
        </w:rPr>
        <w:t>ope will generally cover the sections included above.</w:t>
      </w:r>
    </w:p>
    <w:p w14:paraId="2C8716C5" w14:textId="77777777" w:rsidR="00D71E8E" w:rsidRDefault="00B43514">
      <w:pPr>
        <w:numPr>
          <w:ilvl w:val="0"/>
          <w:numId w:val="20"/>
        </w:numPr>
        <w:spacing w:beforeLines="50" w:before="163" w:after="160"/>
        <w:ind w:left="720"/>
        <w:jc w:val="both"/>
      </w:pPr>
      <w:r>
        <w:rPr>
          <w:rFonts w:ascii="Calibri" w:hAnsi="Calibri" w:cs="Calibri"/>
        </w:rPr>
        <w:t>Identify and manage the environmental risks related to eligible green projects based on the feasibility reports mentioned above.</w:t>
      </w:r>
    </w:p>
    <w:p w14:paraId="55815935" w14:textId="77777777" w:rsidR="00D71E8E" w:rsidRDefault="00B43514">
      <w:pPr>
        <w:numPr>
          <w:ilvl w:val="0"/>
          <w:numId w:val="20"/>
        </w:numPr>
        <w:spacing w:beforeLines="50" w:before="163" w:after="160"/>
        <w:ind w:left="720"/>
        <w:jc w:val="both"/>
      </w:pPr>
      <w:r>
        <w:rPr>
          <w:rFonts w:ascii="Calibri" w:hAnsi="Calibri" w:cs="Calibri"/>
        </w:rPr>
        <w:t>Nominate green projects for the Board of Directors’ final decision. The s</w:t>
      </w:r>
      <w:r>
        <w:rPr>
          <w:rFonts w:ascii="Calibri" w:hAnsi="Calibri" w:cs="Calibri"/>
        </w:rPr>
        <w:t>hortlisted projects will be presented to the Board of Directors for final approval to take into effect. After receiving the Board of Directors’ assessment and approval, the projects which are selected will become the Eligible Green Projects.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15092B87" w14:textId="77777777" w:rsidR="00D71E8E" w:rsidRDefault="00B43514">
            <w:pPr>
              <w:numPr>
                <w:ilvl w:val="0"/>
                <w:numId w:val="2"/>
              </w:numPr>
              <w:jc w:val="both"/>
            </w:pPr>
            <w:r>
              <w:rPr>
                <w:rFonts w:ascii="Calibri" w:hAnsi="Calibri" w:cs="Calibri"/>
                <w:color w:val="0D381F"/>
              </w:rPr>
              <w:t xml:space="preserve">CCXGFI has reviewed the Group’s </w:t>
            </w:r>
            <w:r>
              <w:rPr>
                <w:rFonts w:ascii="Calibri" w:hAnsi="Calibri"/>
                <w:color w:val="FF0000"/>
              </w:rPr>
              <w:t>[13-1]</w:t>
            </w:r>
            <w:r>
              <w:rPr>
                <w:rFonts w:ascii="Calibri" w:hAnsi="Calibri"/>
                <w:color w:val="0D381F"/>
              </w:rPr>
              <w:t>Green Finance Framework and the Group’s policies on management of proceeds.</w:t>
            </w:r>
          </w:p>
          <w:p w14:paraId="1BD79EC1" w14:textId="77777777" w:rsidR="00D71E8E" w:rsidRDefault="00B43514">
            <w:pPr>
              <w:numPr>
                <w:ilvl w:val="0"/>
                <w:numId w:val="2"/>
              </w:numPr>
              <w:jc w:val="both"/>
            </w:pPr>
            <w:r>
              <w:rPr>
                <w:rFonts w:ascii="Calibri" w:hAnsi="Calibri" w:cs="Calibri"/>
                <w:color w:val="0D381F"/>
              </w:rPr>
              <w:t xml:space="preserve">The Group has clearly defined the rules for the management of </w:t>
            </w:r>
            <w:r>
              <w:rPr>
                <w:rFonts w:ascii="Calibri" w:hAnsi="Calibri" w:cs="Calibri"/>
                <w:color w:val="0D381F"/>
              </w:rPr>
              <w:t>proceeds. CCXGFI is of the opinion that they would make a traceable and transparent allocation process which matches the requirements of the GBP2021 (with June 2022 Appendix I) and GLP2023.</w:t>
            </w:r>
          </w:p>
          <w:p w14:paraId="39F21B3E" w14:textId="77777777" w:rsidR="00D71E8E" w:rsidRDefault="00B43514">
            <w:pPr>
              <w:numPr>
                <w:ilvl w:val="0"/>
                <w:numId w:val="2"/>
              </w:numPr>
              <w:jc w:val="both"/>
            </w:pPr>
            <w:r>
              <w:rPr>
                <w:rFonts w:ascii="Calibri" w:hAnsi="Calibri" w:cs="Calibri"/>
                <w:color w:val="0D381F"/>
              </w:rPr>
              <w:t>It is recommended that if applicable, the Group could consider eng</w:t>
            </w:r>
            <w:r>
              <w:rPr>
                <w:rFonts w:ascii="Calibri" w:hAnsi="Calibri" w:cs="Calibri"/>
                <w:color w:val="0D381F"/>
              </w:rPr>
              <w:t xml:space="preserve">aging external agencies to oversee the management of </w:t>
            </w:r>
            <w:r>
              <w:rPr>
                <w:rFonts w:ascii="Calibri" w:hAnsi="Calibri"/>
                <w:color w:val="FF0000"/>
              </w:rPr>
              <w:t>[9-2]</w:t>
            </w:r>
            <w:r>
              <w:rPr>
                <w:rFonts w:ascii="Calibri" w:hAnsi="Calibri"/>
                <w:color w:val="0D381F"/>
              </w:rPr>
              <w:t>GFTs, thereby showing a stronger signal about the Group’s commitment to sustainability.</w:t>
            </w:r>
          </w:p>
        </w:tc>
      </w:tr>
    </w:tbl>
    <w:p w14:paraId="50A1D072" w14:textId="1086A8BE" w:rsidR="00723570" w:rsidRPr="000D2EA4" w:rsidRDefault="00B43514"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Group’s </w:t>
      </w:r>
      <w:r>
        <w:rPr>
          <w:rFonts w:ascii="Calibri" w:hAnsi="Calibri" w:cs="Calibri"/>
          <w:color w:val="FF0000"/>
        </w:rPr>
        <w:t>[9-4]</w:t>
      </w:r>
      <w:r>
        <w:rPr>
          <w:rFonts w:ascii="Calibri" w:hAnsi="Calibri"/>
        </w:rPr>
        <w:t xml:space="preserve">GFT can be managed through using a special account or keeping a GFT Register. </w:t>
      </w:r>
      <w:r>
        <w:rPr>
          <w:rFonts w:ascii="Calibri" w:hAnsi="Calibri"/>
        </w:rPr>
        <w:t>Under the GFT Register method, the proceeds will be deposited in the general funding accounts and earmarked for allocation towards the Eligible Green Projects.</w:t>
      </w:r>
    </w:p>
    <w:p w14:paraId="5B96D796" w14:textId="625AC934" w:rsidR="00723570" w:rsidRPr="000D2EA4" w:rsidRDefault="00B43514" w:rsidP="00336287">
      <w:pPr>
        <w:spacing w:beforeLines="50" w:before="163" w:after="160"/>
        <w:jc w:val="both"/>
        <w:rPr>
          <w:rFonts w:ascii="Calibri" w:hAnsi="Calibri" w:cs="Calibri"/>
          <w:color w:val="7F7F7F" w:themeColor="text1" w:themeTint="80"/>
        </w:rPr>
      </w:pPr>
      <w:r>
        <w:rPr>
          <w:rFonts w:ascii="Calibri" w:hAnsi="Calibri" w:cs="Calibri"/>
          <w:b/>
        </w:rPr>
        <w:t xml:space="preserve">The use of proceeds will be maintained in a </w:t>
      </w:r>
      <w:r>
        <w:rPr>
          <w:rFonts w:ascii="Calibri" w:hAnsi="Calibri" w:cs="Calibri"/>
          <w:b/>
          <w:color w:val="FF0000"/>
        </w:rPr>
        <w:t>[13-5]</w:t>
      </w:r>
      <w:r>
        <w:rPr>
          <w:rFonts w:ascii="Calibri" w:hAnsi="Calibri"/>
          <w:b/>
        </w:rPr>
        <w:t>Green Finance Register, containing following informa</w:t>
      </w:r>
      <w:r>
        <w:rPr>
          <w:rFonts w:ascii="Calibri" w:hAnsi="Calibri"/>
          <w:b/>
        </w:rPr>
        <w:t>tion:</w:t>
      </w:r>
    </w:p>
    <w:p w14:paraId="180BFE28" w14:textId="77777777" w:rsidR="00D71E8E" w:rsidRDefault="00B43514">
      <w:pPr>
        <w:numPr>
          <w:ilvl w:val="0"/>
          <w:numId w:val="2"/>
        </w:numPr>
        <w:spacing w:beforeLines="50" w:before="163" w:after="160"/>
        <w:ind w:left="820"/>
      </w:pPr>
      <w:r>
        <w:rPr>
          <w:rFonts w:ascii="Calibri" w:hAnsi="Calibri" w:cs="Calibri"/>
          <w:color w:val="FF0000"/>
        </w:rPr>
        <w:t>[9-5]</w:t>
      </w:r>
      <w:r>
        <w:rPr>
          <w:rFonts w:ascii="Calibri" w:hAnsi="Calibri"/>
        </w:rPr>
        <w:t>GFT Details: ISIN (if applicable), Pricing Date, Maturity Date and etc.</w:t>
      </w:r>
    </w:p>
    <w:p w14:paraId="1F21F5D6" w14:textId="77777777" w:rsidR="00D71E8E" w:rsidRDefault="00B43514">
      <w:pPr>
        <w:numPr>
          <w:ilvl w:val="0"/>
          <w:numId w:val="2"/>
        </w:numPr>
        <w:spacing w:beforeLines="50" w:before="163" w:after="160"/>
        <w:ind w:left="820"/>
      </w:pPr>
      <w:r>
        <w:rPr>
          <w:rFonts w:ascii="Calibri" w:hAnsi="Calibri" w:cs="Calibri"/>
        </w:rPr>
        <w:t>Eligible Green Project Allocation List: Information including:</w:t>
      </w:r>
    </w:p>
    <w:p w14:paraId="74E0DA25" w14:textId="77777777" w:rsidR="00D71E8E" w:rsidRDefault="00B43514">
      <w:pPr>
        <w:numPr>
          <w:ilvl w:val="0"/>
          <w:numId w:val="3"/>
        </w:numPr>
        <w:spacing w:beforeLines="50" w:before="163" w:after="160"/>
        <w:ind w:left="1210"/>
      </w:pPr>
      <w:r>
        <w:rPr>
          <w:rFonts w:ascii="Calibri" w:hAnsi="Calibri" w:cs="Calibri"/>
        </w:rPr>
        <w:t>The Eligible Green Projects List, including for each Eligible Green Project, the Eligible Green Project Category, p</w:t>
      </w:r>
      <w:r>
        <w:rPr>
          <w:rFonts w:ascii="Calibri" w:hAnsi="Calibri" w:cs="Calibri"/>
        </w:rPr>
        <w:t>roject description, project location, Group’s ownership percentage, total project cost, Amount allocated, settled currency, etc.</w:t>
      </w:r>
    </w:p>
    <w:p w14:paraId="711DC19D" w14:textId="77777777" w:rsidR="00D71E8E" w:rsidRDefault="00B43514">
      <w:pPr>
        <w:numPr>
          <w:ilvl w:val="0"/>
          <w:numId w:val="3"/>
        </w:numPr>
        <w:spacing w:beforeLines="50" w:before="163" w:after="160"/>
        <w:ind w:left="1210"/>
      </w:pPr>
      <w:r>
        <w:rPr>
          <w:rFonts w:ascii="Calibri" w:hAnsi="Calibri" w:cs="Calibri"/>
        </w:rPr>
        <w:t>Amount of unallocated proceeds</w:t>
      </w:r>
    </w:p>
    <w:p w14:paraId="1D998DC3" w14:textId="77777777" w:rsidR="00D71E8E" w:rsidRDefault="00B43514">
      <w:pPr>
        <w:spacing w:beforeLines="50" w:before="163" w:after="160"/>
        <w:jc w:val="both"/>
      </w:pPr>
      <w:r>
        <w:rPr>
          <w:rFonts w:ascii="Calibri" w:hAnsi="Calibri" w:cs="Calibri"/>
        </w:rPr>
        <w:lastRenderedPageBreak/>
        <w:t>The Group can deposit the unallocated kept in an earmarked account or in a general account accor</w:t>
      </w:r>
      <w:r>
        <w:rPr>
          <w:rFonts w:ascii="Calibri" w:hAnsi="Calibri" w:cs="Calibri"/>
        </w:rPr>
        <w:t>ding to the relevant rules and regulations set out by the competent authorities.</w:t>
      </w:r>
    </w:p>
    <w:p w14:paraId="26E030B5" w14:textId="77777777" w:rsidR="00D71E8E" w:rsidRDefault="00B43514">
      <w:pPr>
        <w:spacing w:beforeLines="50" w:before="163" w:after="160"/>
        <w:jc w:val="both"/>
      </w:pPr>
      <w:r>
        <w:rPr>
          <w:rFonts w:ascii="Calibri" w:hAnsi="Calibri" w:cs="Calibri"/>
        </w:rPr>
        <w:t xml:space="preserve">During the life of the </w:t>
      </w:r>
      <w:r>
        <w:rPr>
          <w:rFonts w:ascii="Calibri" w:hAnsi="Calibri" w:cs="Calibri"/>
          <w:color w:val="FF0000"/>
        </w:rPr>
        <w:t>[9-6]</w:t>
      </w:r>
      <w:r>
        <w:rPr>
          <w:rFonts w:ascii="Calibri" w:hAnsi="Calibri"/>
        </w:rPr>
        <w:t>GFTs issued, if the designated projects cease to fulfil the eligibility criteria during the life of the GFTs issued, the net proceeds will be reallocate</w:t>
      </w:r>
      <w:r>
        <w:rPr>
          <w:rFonts w:ascii="Calibri" w:hAnsi="Calibri"/>
        </w:rPr>
        <w:t>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647E2F11" w14:textId="77777777" w:rsidR="00D71E8E" w:rsidRDefault="00B43514">
            <w:pPr>
              <w:numPr>
                <w:ilvl w:val="0"/>
                <w:numId w:val="2"/>
              </w:numPr>
              <w:jc w:val="both"/>
            </w:pPr>
            <w:r>
              <w:rPr>
                <w:rFonts w:ascii="Calibri" w:hAnsi="Calibri" w:cs="Calibri"/>
                <w:color w:val="0D381F"/>
              </w:rPr>
              <w:t xml:space="preserve">CCXGFI has reviewed the Group’s Framework and examined the reporting </w:t>
            </w:r>
            <w:r>
              <w:rPr>
                <w:rFonts w:ascii="Calibri" w:hAnsi="Calibri" w:cs="Calibri"/>
                <w:color w:val="0D381F"/>
              </w:rPr>
              <w:t>mechanism.</w:t>
            </w:r>
          </w:p>
          <w:p w14:paraId="57E09111" w14:textId="77777777" w:rsidR="00D71E8E" w:rsidRDefault="00B43514">
            <w:pPr>
              <w:numPr>
                <w:ilvl w:val="0"/>
                <w:numId w:val="2"/>
              </w:numPr>
              <w:jc w:val="both"/>
            </w:pPr>
            <w:r>
              <w:rPr>
                <w:rFonts w:ascii="Calibri" w:hAnsi="Calibri" w:cs="Calibri"/>
                <w:color w:val="0D381F"/>
              </w:rPr>
              <w:t>The Group is committed to reporting the allocation of net proceeds at least annually until they are fully allocated and disclose the impact of financed projects through quantitative indicators defined by ICMA’s handbook where possible.</w:t>
            </w:r>
          </w:p>
          <w:p w14:paraId="5D2A169C" w14:textId="77777777" w:rsidR="00D71E8E" w:rsidRDefault="00B43514">
            <w:pPr>
              <w:numPr>
                <w:ilvl w:val="0"/>
                <w:numId w:val="2"/>
              </w:numPr>
              <w:jc w:val="both"/>
            </w:pPr>
            <w:r>
              <w:rPr>
                <w:rFonts w:ascii="Calibri" w:hAnsi="Calibri" w:cs="Calibri"/>
                <w:color w:val="0D381F"/>
              </w:rPr>
              <w:t>CCXGFI is</w:t>
            </w:r>
            <w:r>
              <w:rPr>
                <w:rFonts w:ascii="Calibri" w:hAnsi="Calibri" w:cs="Calibri"/>
                <w:color w:val="0D381F"/>
              </w:rPr>
              <w:t xml:space="preserve">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Pr>
          <w:rFonts w:ascii="Calibri" w:hAnsi="Calibri"/>
          <w:color w:val="FF0000"/>
        </w:rPr>
      </w:r>
      <w:r>
        <w:rPr>
          <w:rFonts w:ascii="Calibri" w:hAnsi="Calibri"/>
          <w:color w:val="FF0000"/>
        </w:rPr>
        <w:t>[8-3]</w:t>
      </w:r>
      <w:r>
        <w:rPr>
          <w:rFonts w:ascii="Calibri" w:hAnsi="Calibri"/>
        </w:rPr>
        <w:t xml:space="preserve">Company is committed to providing an allocation report on its eligible green projects annually with updates continuing until full allocation of the net proceeds of any </w:t>
      </w:r>
      <w:r>
        <w:rPr>
          <w:rFonts w:ascii="Calibri" w:hAnsi="Calibri"/>
          <w:color w:val="FF0000"/>
        </w:rPr>
        <w:t>[9-7]</w:t>
      </w:r>
      <w:r>
        <w:rPr>
          <w:rFonts w:ascii="Calibri" w:hAnsi="Calibri"/>
        </w:rPr>
        <w:t>GFT issued or until the GFT is no longer outstanding. The impact report associated with the Eligible Projects will be disclosed on an annual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32B24BEB" w14:textId="77777777" w:rsidR="00D71E8E" w:rsidRDefault="00B43514">
      <w:pPr>
        <w:numPr>
          <w:ilvl w:val="0"/>
          <w:numId w:val="2"/>
        </w:numPr>
        <w:spacing w:beforeLines="50" w:before="163" w:after="160"/>
        <w:ind w:left="820"/>
      </w:pPr>
      <w:r>
        <w:rPr>
          <w:rFonts w:ascii="Calibri" w:hAnsi="Calibri" w:cs="Calibri"/>
        </w:rPr>
        <w:t>List of Eligible Green Projects for the current year</w:t>
      </w:r>
    </w:p>
    <w:p w14:paraId="7D1749C3" w14:textId="77777777" w:rsidR="00D71E8E" w:rsidRDefault="00B43514">
      <w:pPr>
        <w:numPr>
          <w:ilvl w:val="0"/>
          <w:numId w:val="2"/>
        </w:numPr>
        <w:spacing w:beforeLines="50" w:before="163" w:after="160"/>
        <w:ind w:left="820"/>
      </w:pPr>
      <w:r>
        <w:rPr>
          <w:rFonts w:ascii="Calibri" w:hAnsi="Calibri" w:cs="Calibri"/>
        </w:rPr>
        <w:t xml:space="preserve">Amount of net proceeds allocated to each Eligible Green Project </w:t>
      </w:r>
      <w:r>
        <w:rPr>
          <w:rFonts w:ascii="Calibri" w:hAnsi="Calibri" w:cs="Calibri"/>
        </w:rPr>
        <w:t>category</w:t>
      </w:r>
    </w:p>
    <w:p w14:paraId="0175C46A" w14:textId="77777777" w:rsidR="00D71E8E" w:rsidRDefault="00B43514">
      <w:pPr>
        <w:numPr>
          <w:ilvl w:val="0"/>
          <w:numId w:val="2"/>
        </w:numPr>
        <w:spacing w:beforeLines="50" w:before="163" w:after="160"/>
        <w:ind w:left="820"/>
      </w:pPr>
      <w:r>
        <w:rPr>
          <w:rFonts w:ascii="Calibri" w:hAnsi="Calibri" w:cs="Calibri"/>
        </w:rPr>
        <w:t>Descriptions of the Eligible Green Projects financed, such as project locations, amount allocated, etc.</w:t>
      </w:r>
    </w:p>
    <w:p w14:paraId="1DFCD2AD" w14:textId="77777777" w:rsidR="00D71E8E" w:rsidRDefault="00B43514">
      <w:pPr>
        <w:numPr>
          <w:ilvl w:val="0"/>
          <w:numId w:val="2"/>
        </w:numPr>
        <w:spacing w:beforeLines="50" w:before="163" w:after="160"/>
        <w:ind w:left="820"/>
      </w:pPr>
      <w:r>
        <w:rPr>
          <w:rFonts w:ascii="Calibri" w:hAnsi="Calibri" w:cs="Calibri"/>
        </w:rPr>
        <w:t>Selected examples of projects financed</w:t>
      </w:r>
    </w:p>
    <w:p w14:paraId="072B0B39" w14:textId="77777777" w:rsidR="00D71E8E" w:rsidRDefault="00B43514">
      <w:pPr>
        <w:numPr>
          <w:ilvl w:val="0"/>
          <w:numId w:val="2"/>
        </w:numPr>
        <w:spacing w:beforeLines="50" w:before="163" w:after="160"/>
        <w:ind w:left="820"/>
      </w:pPr>
      <w:r>
        <w:rPr>
          <w:rFonts w:ascii="Calibri" w:hAnsi="Calibri" w:cs="Calibri"/>
        </w:rPr>
        <w:t>Percentage of financing and refinancing</w:t>
      </w:r>
    </w:p>
    <w:p w14:paraId="195A368E" w14:textId="77777777" w:rsidR="00D71E8E" w:rsidRDefault="00B43514">
      <w:pPr>
        <w:numPr>
          <w:ilvl w:val="0"/>
          <w:numId w:val="2"/>
        </w:numPr>
        <w:spacing w:beforeLines="50" w:before="163" w:after="160"/>
        <w:ind w:left="820"/>
      </w:pPr>
      <w:r>
        <w:rPr>
          <w:rFonts w:ascii="Calibri" w:hAnsi="Calibri" w:cs="Calibri"/>
        </w:rPr>
        <w:t>Amount of 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 xml:space="preserve">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w:t>
      </w:r>
      <w:proofErr w:type="gramStart"/>
      <w:r>
        <w:rPr>
          <w:rFonts w:ascii="Calibri" w:hAnsi="Calibri" w:cs="Calibri"/>
        </w:rPr>
        <w:t>information.For</w:t>
      </w:r>
      <w:proofErr w:type="gramEnd"/>
      <w:r>
        <w:rPr>
          <w:rFonts w:ascii="Calibri" w:hAnsi="Calibri" w:cs="Calibri"/>
        </w:rPr>
        <w:t xml:space="preserve">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34EBA131" w14:textId="77777777" w:rsidR="00D71E8E" w:rsidRDefault="00B43514">
      <w:pPr>
        <w:spacing w:beforeLines="50" w:before="163" w:after="160"/>
        <w:jc w:val="both"/>
      </w:pPr>
      <w:r>
        <w:rPr>
          <w:rFonts w:ascii="Calibri" w:hAnsi="Calibri"/>
        </w:rPr>
        <w:t xml:space="preserve">Fu Gang Construction Group Co. Limited is dedicated to aligning its sustainable practices with the strategic objectives outlined in China’s “14th Five-Year Plan for Green Development,” which emphasizes energy conservation and emissions reduction within the 2021-2025 timeframe. By integrating these national policies into its operational framework, the Group underscores its commitment to </w:t>
      </w:r>
      <w:r>
        <w:rPr>
          <w:color w:val="FF0000"/>
        </w:rPr>
      </w:r>
      <w:r>
        <w:rPr>
          <w:rFonts w:ascii="Calibri" w:hAnsi="Calibri"/>
        </w:rPr>
        <w:t>green building</w:t>
      </w:r>
      <w:r>
        <w:rPr>
          <w:rFonts w:ascii="Calibri" w:hAnsi="Calibri"/>
        </w:rPr>
        <w:t xml:space="preserve"> and infrastructure projects, ensuring that each initiative is meticulously designed to minimize environmental impact. The Group’s </w:t>
      </w:r>
      <w:r>
        <w:rPr>
          <w:rFonts w:ascii="Calibri" w:hAnsi="Calibri"/>
          <w:color w:val="FF0000"/>
        </w:rPr>
        <w:t>[13-6]</w:t>
      </w:r>
      <w:r>
        <w:rPr>
          <w:rFonts w:ascii="Calibri" w:hAnsi="Calibri"/>
        </w:rPr>
        <w:t>Green Finance Framework (GFF) is meticulously structured to uphold the highest standards of environmental responsibility, facilitating the financing of projects that yield significant ecological benefits in harmony with its strategic goals. This alignment not only enhances the Group’s competitive advantage but also supports its long-term vision of achieving sustainable urban development, thereby ensuring that the Group’s projects effectively meet both its environmental objectives and business ambitions.</w:t>
      </w:r>
    </w:p>
    <w:p w14:paraId="4E93AE74" w14:textId="77777777" w:rsidR="00D71E8E" w:rsidRDefault="00B43514">
      <w:pPr>
        <w:spacing w:beforeLines="50" w:before="163" w:after="160"/>
        <w:jc w:val="both"/>
      </w:pPr>
      <w:r>
        <w:rPr>
          <w:rFonts w:ascii="Calibri" w:hAnsi="Calibri" w:cs="Calibri"/>
        </w:rPr>
        <w:t xml:space="preserve">The Group defines Green Building as eligible green projects </w:t>
      </w:r>
      <w:proofErr w:type="gramStart"/>
      <w:r>
        <w:rPr>
          <w:rFonts w:ascii="Calibri" w:hAnsi="Calibri" w:cs="Calibri"/>
        </w:rPr>
        <w:t>categories.Furthermore</w:t>
      </w:r>
      <w:proofErr w:type="gramEnd"/>
      <w:r>
        <w:rPr>
          <w:rFonts w:ascii="Calibri" w:hAnsi="Calibri" w:cs="Calibri"/>
        </w:rPr>
        <w:t xml:space="preserve">, the </w:t>
      </w:r>
      <w:r>
        <w:rPr>
          <w:rFonts w:ascii="Calibri" w:hAnsi="Calibri" w:cs="Calibri"/>
          <w:color w:val="FF0000"/>
        </w:rPr>
        <w:t>[9-8]</w:t>
      </w:r>
      <w:r>
        <w:rPr>
          <w:rFonts w:ascii="Calibri" w:hAnsi="Calibri" w:cs="Calibri"/>
        </w:rPr>
        <w:t xml:space="preserve">GFTs issued under the </w:t>
      </w:r>
      <w:r>
        <w:rPr>
          <w:rFonts w:ascii="Calibri" w:hAnsi="Calibri"/>
          <w:color w:val="FF0000"/>
        </w:rPr>
        <w:t>[13-7]</w:t>
      </w:r>
      <w:r>
        <w:rPr>
          <w:rFonts w:ascii="Calibri" w:hAnsi="Calibri"/>
        </w:rPr>
        <w:t xml:space="preserve">Green Finance Framework contribute to the 2 SDGs, systematically advancing the Group. In particular, the eligible projects are closely related to the </w:t>
      </w:r>
      <w:r>
        <w:rPr>
          <w:rFonts w:ascii="Calibri" w:hAnsi="Calibri"/>
          <w:color w:val="FF0000"/>
        </w:rPr>
      </w:r>
      <w:r>
        <w:rPr>
          <w:rFonts w:ascii="Calibri" w:hAnsi="Calibri"/>
          <w:color w:val="FF0000"/>
        </w:rPr>
        <w:t>[8-4]</w:t>
      </w:r>
      <w:r>
        <w:rPr>
          <w:rFonts w:ascii="Calibri" w:hAnsi="Calibri"/>
        </w:rPr>
        <w:t>Company’s major business activities, and at the same time, the Group’s current development provides overal</w:t>
      </w:r>
      <w:r>
        <w:rPr>
          <w:rFonts w:ascii="Calibri" w:hAnsi="Calibri"/>
        </w:rPr>
        <w:t>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D71E8E" w14:paraId="186B8C5D" w14:textId="77777777">
        <w:tc>
          <w:tcPr>
            <w:tcW w:w="8500" w:type="dxa"/>
            <w:shd w:val="clear" w:color="auto" w:fill="316729"/>
          </w:tcPr>
          <w:p w14:paraId="12986B94" w14:textId="77777777" w:rsidR="00D71E8E" w:rsidRDefault="00B43514">
            <w:r>
              <w:rPr>
                <w:rFonts w:ascii="Calibri" w:hAnsi="Calibri" w:cs="Calibri"/>
                <w:b/>
                <w:color w:val="FFFFFF"/>
                <w:sz w:val="30"/>
                <w:szCs w:val="30"/>
              </w:rPr>
              <w:t>Green Buildings</w:t>
            </w:r>
          </w:p>
        </w:tc>
        <w:tc>
          <w:tcPr>
            <w:tcW w:w="2000" w:type="dxa"/>
            <w:shd w:val="clear" w:color="auto" w:fill="316729"/>
          </w:tcPr>
          <w:p w14:paraId="7C63B6DF" w14:textId="77777777" w:rsidR="00D71E8E" w:rsidRDefault="00D71E8E"/>
        </w:tc>
      </w:tr>
      <w:tr w:rsidR="00D71E8E" w14:paraId="737A31C5" w14:textId="77777777">
        <w:tc>
          <w:tcPr>
            <w:tcW w:w="360" w:type="dxa"/>
            <w:shd w:val="clear" w:color="auto" w:fill="F4F9EB"/>
          </w:tcPr>
          <w:p w14:paraId="70F48F4B" w14:textId="77777777" w:rsidR="00D71E8E" w:rsidRDefault="00B43514">
            <w:pPr>
              <w:numPr>
                <w:ilvl w:val="0"/>
                <w:numId w:val="2"/>
              </w:numPr>
              <w:jc w:val="both"/>
            </w:pPr>
            <w:r>
              <w:rPr>
                <w:rFonts w:ascii="Calibri" w:hAnsi="Calibri"/>
              </w:rPr>
              <w:t xml:space="preserve">In China, the building sector represents a substantial proportion of the nation’s energy consumption and greenhouse gas emissions, estimated at approximately 40%. This sector’s significant contribution to energy use poses a critical challenge to China’s outlined environmental milestones, namely the carbon peaking by 2030 and carbon neutrality by 2060. Intensified by rapid urbanization and industrial growth, these challenges demand immediate and holistic strategies to transition the building industry towards sustainability and reduced carbon intensity. The “14th Five-Year Plan” underscores the imperative of advancing ultra-low, near-zero, and low-carbon building technologies as central elements to achieving environmental targets, calling for extensive development in energy-saving and low-carbon construction methods. Fu Gang Construction Group Co. Limited has adopted these strategic guidelines within its </w:t>
            </w:r>
            <w:r>
              <w:rPr>
                <w:rFonts w:ascii="Calibri" w:hAnsi="Calibri"/>
                <w:color w:val="FF0000"/>
              </w:rPr>
              <w:t>[13-2]</w:t>
            </w:r>
            <w:r>
              <w:rPr>
                <w:rFonts w:ascii="Calibri" w:hAnsi="Calibri"/>
              </w:rPr>
              <w:t xml:space="preserve">Green Finance Framework, concentrating on </w:t>
            </w:r>
            <w:r>
              <w:rPr>
                <w:color w:val="FF0000"/>
              </w:rPr>
            </w:r>
            <w:r>
              <w:rPr>
                <w:rFonts w:ascii="Calibri" w:hAnsi="Calibri"/>
              </w:rPr>
              <w:t>green building</w:t>
            </w:r>
            <w:r>
              <w:rPr>
                <w:rFonts w:ascii="Calibri" w:hAnsi="Calibri"/>
              </w:rPr>
              <w:t xml:space="preserve"> initiatives to mitigate ecological impacts, ensuring alignment with sustainability standards at both the national and international levels.</w:t>
            </w:r>
          </w:p>
          <w:p w14:paraId="712A2355" w14:textId="77777777" w:rsidR="00D71E8E" w:rsidRDefault="00B43514">
            <w:pPr>
              <w:numPr>
                <w:ilvl w:val="0"/>
                <w:numId w:val="2"/>
              </w:numPr>
              <w:jc w:val="both"/>
            </w:pPr>
            <w:r>
              <w:rPr>
                <w:rFonts w:ascii="Calibri" w:hAnsi="Calibri"/>
              </w:rPr>
              <w:t xml:space="preserve">The environmental advantages associated with the execution of the </w:t>
            </w:r>
            <w:r>
              <w:rPr>
                <w:rFonts w:ascii="Calibri" w:hAnsi="Calibri"/>
                <w:color w:val="FF0000"/>
              </w:rPr>
              <w:t>[13-3]</w:t>
            </w:r>
            <w:r>
              <w:rPr>
                <w:rFonts w:ascii="Calibri" w:hAnsi="Calibri"/>
              </w:rPr>
              <w:t xml:space="preserve">Green Finance Framework’s emphasis on </w:t>
            </w:r>
            <w:r>
              <w:rPr>
                <w:color w:val="FF0000"/>
              </w:rPr>
            </w:r>
            <w:r>
              <w:rPr>
                <w:rFonts w:ascii="Calibri" w:hAnsi="Calibri"/>
              </w:rPr>
              <w:t>green building</w:t>
            </w:r>
            <w:r>
              <w:rPr>
                <w:rFonts w:ascii="Calibri" w:hAnsi="Calibri"/>
              </w:rPr>
              <w:t xml:space="preserve">s are multifaceted, substantiated by empirical data and theoretical assessments. Projects undertaken within this framework must achieve high-performance certifications such as LEED Gold, BREEAM Excellent, or China’s Green Building Label 2-Star and above, which denote rigorous environmental standards. These certifications assure that buildings integrate cutting-edge energy-efficient technologies, resulting in substantial reductions in energy usage and greenhouse gas emissions. Empirical data suggests these green projects yield at least a 15% reduction in energy consumption relative to pre-renovation benchmarks, thereby supporting the overarching objective of minimizing reliance on fossil fuels and lowering carbon emissions. Furthermore, these buildings promote the efficient use of renewable energy sources and encourage the recycling of building materials, facilitating a balanced interaction between human activity and nature. Fu Gang Construction Group’s adherence to these criteria not only highlights its commitment to ecological responsibility but also establishes it as a front-runner in advancing the </w:t>
            </w:r>
            <w:r>
              <w:rPr>
                <w:color w:val="FF0000"/>
              </w:rPr>
            </w:r>
            <w:r>
              <w:rPr>
                <w:rFonts w:ascii="Calibri" w:hAnsi="Calibri"/>
              </w:rPr>
              <w:t>green building</w:t>
            </w:r>
            <w:r>
              <w:rPr>
                <w:rFonts w:ascii="Calibri" w:hAnsi="Calibri"/>
              </w:rPr>
              <w:t xml:space="preserve"> movement, thereby reinforcing China’s overarching environmental ambitions.</w:t>
            </w:r>
          </w:p>
          <w:p w14:paraId="789A7414" w14:textId="77777777" w:rsidR="00D71E8E" w:rsidRDefault="00B43514">
            <w:pPr>
              <w:numPr>
                <w:ilvl w:val="0"/>
                <w:numId w:val="2"/>
              </w:numPr>
              <w:jc w:val="both"/>
            </w:pPr>
            <w:r>
              <w:rPr>
                <w:rFonts w:ascii="Calibri" w:hAnsi="Calibri" w:cs="Calibri"/>
                <w:color w:val="0D381F"/>
                <w:shd w:val="clear" w:color="auto" w:fill="F4F9EB"/>
              </w:rPr>
              <w:t>The Group’s emphasis on acquiring green certifications such as the Chinese Green Building Evaluation Label and compliance with standards like the “Technical Standard for Near-Zero Energy Building” aligns closely with these reg</w:t>
            </w:r>
            <w:r>
              <w:rPr>
                <w:rFonts w:ascii="Calibri" w:hAnsi="Calibri" w:cs="Calibri"/>
                <w:color w:val="0D381F"/>
                <w:shd w:val="clear" w:color="auto" w:fill="F4F9EB"/>
              </w:rPr>
              <w:t>ulatory frameworks. By adhering to such guidelines, the Group not only fulfills its environmental objectives of mitigating climate change and reducing fossil energy usage but also enhances its projects’ credibility and market appeal. Consequently, the Grou</w:t>
            </w:r>
            <w:r>
              <w:rPr>
                <w:rFonts w:ascii="Calibri" w:hAnsi="Calibri" w:cs="Calibri"/>
                <w:color w:val="0D381F"/>
                <w:shd w:val="clear" w:color="auto" w:fill="F4F9EB"/>
              </w:rPr>
              <w:t xml:space="preserve">p’s green initiatives are poised to achieve significant reductions in carbon emissions and improvements in clean energy utilization, </w:t>
            </w:r>
            <w:r>
              <w:rPr>
                <w:rFonts w:ascii="Calibri" w:hAnsi="Calibri" w:cs="Calibri"/>
                <w:color w:val="0D381F"/>
                <w:shd w:val="clear" w:color="auto" w:fill="F4F9EB"/>
              </w:rPr>
              <w:lastRenderedPageBreak/>
              <w:t>thereby supporting the harmonious coexistence of humans and nature, as envisioned in national strategic plans.</w:t>
            </w:r>
          </w:p>
        </w:tc>
        <w:tc>
          <w:tcPr>
            <w:tcW w:w="360" w:type="dxa"/>
            <w:shd w:val="clear" w:color="auto" w:fill="F4F9EB"/>
          </w:tcPr>
          <w:p w14:paraId="58641B60" w14:textId="77777777" w:rsidR="00D71E8E" w:rsidRDefault="00D71E8E"/>
          <w:p w14:paraId="137B1250" w14:textId="77777777" w:rsidR="00D71E8E" w:rsidRDefault="00B43514">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31D440F0" w14:textId="77777777" w:rsidR="00D71E8E" w:rsidRDefault="00B43514">
      <w:pPr>
        <w:spacing w:beforeLines="50" w:before="163" w:after="160"/>
        <w:jc w:val="both"/>
      </w:pPr>
      <w:r>
        <w:rPr>
          <w:rFonts w:ascii="Calibri" w:hAnsi="Calibri" w:cs="Calibri"/>
        </w:rPr>
        <w:t xml:space="preserve">The Group has adopted </w:t>
      </w:r>
      <w:r>
        <w:rPr>
          <w:rFonts w:ascii="Calibri" w:hAnsi="Calibri" w:cs="Calibri"/>
        </w:rPr>
        <w:t>environmental and social risk management measures to ensure compliance with national laws and regulations on green development governing air and gas pollution, noise emissions, hazardous substances, water and waste discharge, etc.</w:t>
      </w:r>
    </w:p>
    <w:p w14:paraId="36CC0018" w14:textId="77777777" w:rsidR="00D71E8E" w:rsidRDefault="00B43514">
      <w:pPr>
        <w:spacing w:beforeLines="50" w:before="163" w:after="160"/>
        <w:jc w:val="both"/>
      </w:pPr>
      <w:r>
        <w:rPr>
          <w:rFonts w:ascii="Calibri" w:hAnsi="Calibri" w:cs="Calibri"/>
        </w:rPr>
        <w:t>As the basis for investme</w:t>
      </w:r>
      <w:r>
        <w:rPr>
          <w:rFonts w:ascii="Calibri" w:hAnsi="Calibri" w:cs="Calibri"/>
        </w:rPr>
        <w:t>nt decision-making, feasibility study report is a necessary requirement in project investment and is usually conducted by the third-party agent or professional consultant team in the evaluation and selection process. Based on the feasibility reports, the G</w:t>
      </w:r>
      <w:r>
        <w:rPr>
          <w:rFonts w:ascii="Calibri" w:hAnsi="Calibri" w:cs="Calibri"/>
        </w:rPr>
        <w:t>roup can identify and assess the environmental risks or social risks related to the eligible projects.</w:t>
      </w:r>
    </w:p>
    <w:p w14:paraId="4B2C6871" w14:textId="77777777" w:rsidR="00D71E8E" w:rsidRDefault="00B43514">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w:t>
      </w:r>
      <w:r>
        <w:rPr>
          <w:rFonts w:ascii="Calibri" w:hAnsi="Calibri" w:cs="Calibri"/>
        </w:rPr>
        <w:t>ainability-related risks. It is recommended that the Group continuously monitors for significant environmental and/or social risks throughout the construction and operational process of the financed projects in addition to checking feasibility study report</w:t>
      </w:r>
      <w:r>
        <w:rPr>
          <w:rFonts w:ascii="Calibri" w:hAnsi="Calibri" w:cs="Calibri"/>
        </w:rPr>
        <w: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1AF9B16" w14:textId="77777777" w:rsidR="00D71E8E" w:rsidRDefault="00B43514">
      <w:pPr>
        <w:spacing w:beforeLines="50" w:before="163" w:after="160"/>
        <w:jc w:val="both"/>
      </w:pPr>
      <w:r>
        <w:rPr>
          <w:rFonts w:ascii="Calibri" w:hAnsi="Calibri" w:cs="Calibri"/>
        </w:rPr>
        <w:t>The eligible projects included in the Framework are mainly realized through the issuance of Green Financing Instruments (</w:t>
      </w:r>
      <w:r>
        <w:rPr>
          <w:rFonts w:ascii="Calibri" w:hAnsi="Calibri" w:cs="Calibri"/>
          <w:color w:val="FF0000"/>
        </w:rPr>
        <w:t>[9-9]</w:t>
      </w:r>
      <w:r>
        <w:rPr>
          <w:rFonts w:ascii="Calibri" w:hAnsi="Calibri"/>
        </w:rPr>
        <w:t>GFIs). Generally, the Group has identified potential negative env</w:t>
      </w:r>
      <w:r>
        <w:rPr>
          <w:rFonts w:ascii="Calibri" w:hAnsi="Calibri"/>
        </w:rPr>
        <w:t>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D71E8E" w14:paraId="49AFB1C4" w14:textId="77777777">
        <w:tc>
          <w:tcPr>
            <w:tcW w:w="2088" w:type="dxa"/>
            <w:shd w:val="clear" w:color="auto" w:fill="316729"/>
            <w:vAlign w:val="center"/>
          </w:tcPr>
          <w:p w14:paraId="48DD3AE9" w14:textId="77777777" w:rsidR="00D71E8E" w:rsidRDefault="00D71E8E">
            <w:pPr>
              <w:jc w:val="center"/>
            </w:pPr>
          </w:p>
        </w:tc>
        <w:tc>
          <w:tcPr>
            <w:tcW w:w="2088" w:type="dxa"/>
            <w:shd w:val="clear" w:color="auto" w:fill="316729"/>
            <w:vAlign w:val="center"/>
          </w:tcPr>
          <w:p w14:paraId="6A29E505" w14:textId="77777777" w:rsidR="00D71E8E" w:rsidRDefault="00B43514">
            <w:pPr>
              <w:jc w:val="center"/>
            </w:pPr>
            <w:r>
              <w:rPr>
                <w:rFonts w:ascii="Calibri" w:hAnsi="Calibri" w:cs="Calibri"/>
                <w:b/>
                <w:color w:val="FFFFFF"/>
              </w:rPr>
              <w:t>Water</w:t>
            </w:r>
          </w:p>
        </w:tc>
        <w:tc>
          <w:tcPr>
            <w:tcW w:w="2088" w:type="dxa"/>
            <w:shd w:val="clear" w:color="auto" w:fill="316729"/>
            <w:vAlign w:val="center"/>
          </w:tcPr>
          <w:p w14:paraId="6443E2A1" w14:textId="77777777" w:rsidR="00D71E8E" w:rsidRDefault="00B43514">
            <w:pPr>
              <w:jc w:val="center"/>
            </w:pPr>
            <w:r>
              <w:rPr>
                <w:rFonts w:ascii="Calibri" w:hAnsi="Calibri" w:cs="Calibri"/>
                <w:b/>
                <w:color w:val="FFFFFF"/>
              </w:rPr>
              <w:t>Wastes</w:t>
            </w:r>
          </w:p>
        </w:tc>
        <w:tc>
          <w:tcPr>
            <w:tcW w:w="2088" w:type="dxa"/>
            <w:shd w:val="clear" w:color="auto" w:fill="316729"/>
            <w:vAlign w:val="center"/>
          </w:tcPr>
          <w:p w14:paraId="1B5A3752" w14:textId="77777777" w:rsidR="00D71E8E" w:rsidRDefault="00B43514">
            <w:pPr>
              <w:jc w:val="center"/>
            </w:pPr>
            <w:r>
              <w:rPr>
                <w:rFonts w:ascii="Calibri" w:hAnsi="Calibri" w:cs="Calibri"/>
                <w:b/>
                <w:color w:val="FFFFFF"/>
              </w:rPr>
              <w:t>Noise</w:t>
            </w:r>
          </w:p>
        </w:tc>
        <w:tc>
          <w:tcPr>
            <w:tcW w:w="2088" w:type="dxa"/>
            <w:shd w:val="clear" w:color="auto" w:fill="316729"/>
            <w:vAlign w:val="center"/>
          </w:tcPr>
          <w:p w14:paraId="6F090FCA" w14:textId="77777777" w:rsidR="00D71E8E" w:rsidRDefault="00B43514">
            <w:pPr>
              <w:jc w:val="center"/>
            </w:pPr>
            <w:r>
              <w:rPr>
                <w:rFonts w:ascii="Calibri" w:hAnsi="Calibri" w:cs="Calibri"/>
                <w:b/>
                <w:color w:val="FFFFFF"/>
              </w:rPr>
              <w:t>Air</w:t>
            </w:r>
          </w:p>
        </w:tc>
      </w:tr>
      <w:tr w:rsidR="00D71E8E" w14:paraId="473940F8" w14:textId="77777777">
        <w:tc>
          <w:tcPr>
            <w:tcW w:w="0" w:type="auto"/>
            <w:tcBorders>
              <w:bottom w:val="dotted" w:sz="3" w:space="0" w:color="275317"/>
            </w:tcBorders>
            <w:shd w:val="clear" w:color="auto" w:fill="F4F9EB"/>
            <w:vAlign w:val="center"/>
          </w:tcPr>
          <w:p w14:paraId="74438FEE" w14:textId="77777777" w:rsidR="00D71E8E" w:rsidRDefault="00B43514">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5EF59498" w14:textId="77777777" w:rsidR="00D71E8E" w:rsidRDefault="00B43514">
            <w:pPr>
              <w:numPr>
                <w:ilvl w:val="0"/>
                <w:numId w:val="2"/>
              </w:numPr>
              <w:ind w:left="240" w:hanging="300"/>
            </w:pPr>
            <w:r>
              <w:rPr>
                <w:rFonts w:ascii="Calibri" w:hAnsi="Calibri" w:cs="Calibri"/>
                <w:color w:val="0D381F"/>
                <w:shd w:val="clear" w:color="auto" w:fill="F4F9EB"/>
              </w:rPr>
              <w:t>Production wastewater</w:t>
            </w:r>
          </w:p>
          <w:p w14:paraId="0E52843B" w14:textId="77777777" w:rsidR="00D71E8E" w:rsidRDefault="00B43514">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EA78C53" w14:textId="77777777" w:rsidR="00D71E8E" w:rsidRDefault="00B43514">
            <w:pPr>
              <w:numPr>
                <w:ilvl w:val="0"/>
                <w:numId w:val="2"/>
              </w:numPr>
              <w:ind w:left="240" w:hanging="300"/>
            </w:pPr>
            <w:r>
              <w:rPr>
                <w:rFonts w:ascii="Calibri" w:hAnsi="Calibri" w:cs="Calibri"/>
                <w:color w:val="0D381F"/>
                <w:shd w:val="clear" w:color="auto" w:fill="F4F9EB"/>
              </w:rPr>
              <w:t>Construction waste</w:t>
            </w:r>
          </w:p>
          <w:p w14:paraId="4CBF0B2B" w14:textId="77777777" w:rsidR="00D71E8E" w:rsidRDefault="00B43514">
            <w:pPr>
              <w:numPr>
                <w:ilvl w:val="0"/>
                <w:numId w:val="2"/>
              </w:numPr>
              <w:ind w:left="240" w:hanging="300"/>
            </w:pPr>
            <w:r>
              <w:rPr>
                <w:rFonts w:ascii="Calibri" w:hAnsi="Calibri" w:cs="Calibri"/>
                <w:color w:val="0D381F"/>
                <w:shd w:val="clear" w:color="auto" w:fill="F4F9EB"/>
              </w:rPr>
              <w:t xml:space="preserve">Workers’ </w:t>
            </w:r>
            <w:r>
              <w:rPr>
                <w:rFonts w:ascii="Calibri" w:hAnsi="Calibri" w:cs="Calibri"/>
                <w:color w:val="0D381F"/>
                <w:shd w:val="clear" w:color="auto" w:fill="F4F9EB"/>
              </w:rPr>
              <w:t>household waste</w:t>
            </w:r>
          </w:p>
        </w:tc>
        <w:tc>
          <w:tcPr>
            <w:tcW w:w="0" w:type="auto"/>
            <w:tcBorders>
              <w:bottom w:val="dotted" w:sz="3" w:space="0" w:color="275317"/>
            </w:tcBorders>
            <w:shd w:val="clear" w:color="auto" w:fill="F4F9EB"/>
            <w:vAlign w:val="center"/>
          </w:tcPr>
          <w:p w14:paraId="581C413E" w14:textId="77777777" w:rsidR="00D71E8E" w:rsidRDefault="00B43514">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4EFFD272" w14:textId="77777777" w:rsidR="00D71E8E" w:rsidRDefault="00B43514">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D71E8E" w14:paraId="73A85599" w14:textId="77777777">
        <w:tc>
          <w:tcPr>
            <w:tcW w:w="0" w:type="auto"/>
            <w:shd w:val="clear" w:color="auto" w:fill="F4F9EB"/>
            <w:vAlign w:val="center"/>
          </w:tcPr>
          <w:p w14:paraId="7A7E56F6" w14:textId="77777777" w:rsidR="00D71E8E" w:rsidRDefault="00B43514">
            <w:r>
              <w:rPr>
                <w:rFonts w:ascii="Calibri" w:hAnsi="Calibri" w:cs="Calibri"/>
                <w:b/>
                <w:color w:val="000000"/>
              </w:rPr>
              <w:t>Operation Process</w:t>
            </w:r>
          </w:p>
        </w:tc>
        <w:tc>
          <w:tcPr>
            <w:tcW w:w="0" w:type="auto"/>
            <w:shd w:val="clear" w:color="auto" w:fill="F4F9EB"/>
            <w:vAlign w:val="center"/>
          </w:tcPr>
          <w:p w14:paraId="5BDB18A5" w14:textId="77777777" w:rsidR="00D71E8E" w:rsidRDefault="00B43514">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7F4D66C0" w14:textId="77777777" w:rsidR="00D71E8E" w:rsidRDefault="00B43514">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576BDAC5" w14:textId="77777777" w:rsidR="00D71E8E" w:rsidRDefault="00B43514">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5FB49DB1" w14:textId="77777777" w:rsidR="00D71E8E" w:rsidRDefault="00B43514">
            <w:pPr>
              <w:numPr>
                <w:ilvl w:val="0"/>
                <w:numId w:val="2"/>
              </w:numPr>
              <w:ind w:left="240" w:hanging="300"/>
            </w:pPr>
            <w:r>
              <w:rPr>
                <w:rFonts w:ascii="Calibri" w:hAnsi="Calibri" w:cs="Calibri"/>
                <w:color w:val="0D381F"/>
                <w:shd w:val="clear" w:color="auto" w:fill="F4F9EB"/>
              </w:rPr>
              <w:t>Exhaust emissions</w:t>
            </w:r>
          </w:p>
          <w:p w14:paraId="2F127F3F" w14:textId="77777777" w:rsidR="00D71E8E" w:rsidRDefault="00B43514">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1BE8B3E3" w14:textId="77777777" w:rsidR="00D71E8E" w:rsidRDefault="00B43514">
      <w:pPr>
        <w:spacing w:beforeLines="50" w:before="163" w:after="160"/>
        <w:jc w:val="both"/>
      </w:pPr>
      <w:r>
        <w:rPr>
          <w:rFonts w:ascii="Calibri" w:hAnsi="Calibri" w:cs="Calibri"/>
        </w:rPr>
        <w:t>Social risks related to mentioned eligible projects are expected to remain at a low level. In particular, the eligible projects would neither have negative impacts on cultures, living habits, employment nor the income of surrounding people. The eligible pr</w:t>
      </w:r>
      <w:r>
        <w:rPr>
          <w:rFonts w:ascii="Calibri" w:hAnsi="Calibri" w:cs="Calibri"/>
        </w:rPr>
        <w:t>ojects are expected to reduce carbon emissions and promote sustainable urban development in Rugao City.</w:t>
      </w:r>
    </w:p>
    <w:p w14:paraId="4949D51E" w14:textId="77777777" w:rsidR="00D71E8E" w:rsidRDefault="00B43514">
      <w:pPr>
        <w:spacing w:beforeLines="50" w:before="163" w:after="160"/>
        <w:jc w:val="both"/>
      </w:pPr>
      <w:r>
        <w:rPr>
          <w:rFonts w:ascii="Calibri" w:hAnsi="Calibri" w:cs="Calibri"/>
        </w:rPr>
        <w:t>During the construction of eligible projects, some projects may raise public concerns about environmental pollution, health impacts, etc., especially wh</w:t>
      </w:r>
      <w:r>
        <w:rPr>
          <w:rFonts w:ascii="Calibri" w:hAnsi="Calibri" w:cs="Calibri"/>
        </w:rPr>
        <w:t>en the project site is close to a residential area, which may lead to opposition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[13-8]</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olor w:val="000000"/>
        </w:rPr>
        <w:t>The following outlines the associations and standards applied in the assessment process. To enhance robustness, CCX</w:t>
      </w:r>
      <w:r>
        <w:rPr>
          <w:rFonts w:ascii="Calibri" w:hAnsi="Calibri"/>
          <w:color w:val="FF0000"/>
        </w:rPr>
        <w:t>[9-10]</w:t>
      </w:r>
      <w:r>
        <w:rPr>
          <w:rFonts w:ascii="Calibri" w:hAnsi="Calibri"/>
          <w:color w:val="000000"/>
        </w:rPr>
        <w:t>GFI</w:t>
      </w:r>
      <w:r>
        <w:rPr>
          <w:rFonts w:ascii="Calibri" w:hAnsi="Calibri"/>
          <w:color w:val="000000"/>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D71E8E" w14:paraId="5EA9FA53" w14:textId="77777777">
        <w:tc>
          <w:tcPr>
            <w:tcW w:w="6840" w:type="dxa"/>
            <w:shd w:val="clear" w:color="auto" w:fill="316729"/>
            <w:vAlign w:val="center"/>
          </w:tcPr>
          <w:p w14:paraId="3081CEF2" w14:textId="77777777" w:rsidR="00D71E8E" w:rsidRDefault="00B43514">
            <w:pPr>
              <w:jc w:val="center"/>
            </w:pPr>
            <w:r>
              <w:rPr>
                <w:rFonts w:ascii="Calibri" w:hAnsi="Calibri" w:cs="Calibri"/>
                <w:b/>
                <w:color w:val="FFFFFF"/>
              </w:rPr>
              <w:t>Association</w:t>
            </w:r>
          </w:p>
        </w:tc>
        <w:tc>
          <w:tcPr>
            <w:tcW w:w="4600" w:type="dxa"/>
            <w:shd w:val="clear" w:color="auto" w:fill="316729"/>
            <w:vAlign w:val="center"/>
          </w:tcPr>
          <w:p w14:paraId="7EECD4BB" w14:textId="77777777" w:rsidR="00D71E8E" w:rsidRDefault="00B43514">
            <w:pPr>
              <w:jc w:val="center"/>
            </w:pPr>
            <w:r>
              <w:rPr>
                <w:rFonts w:ascii="Calibri" w:hAnsi="Calibri" w:cs="Calibri"/>
                <w:b/>
                <w:color w:val="FFFFFF"/>
              </w:rPr>
              <w:t>Standard</w:t>
            </w:r>
          </w:p>
        </w:tc>
      </w:tr>
      <w:tr w:rsidR="00D71E8E" w14:paraId="4E5DAB80" w14:textId="77777777">
        <w:tc>
          <w:tcPr>
            <w:tcW w:w="6440" w:type="dxa"/>
            <w:tcBorders>
              <w:bottom w:val="dotted" w:sz="3" w:space="0" w:color="275317"/>
            </w:tcBorders>
            <w:shd w:val="clear" w:color="auto" w:fill="F4F9EB"/>
            <w:vAlign w:val="center"/>
          </w:tcPr>
          <w:p w14:paraId="39F52DAD" w14:textId="77777777" w:rsidR="00D71E8E" w:rsidRDefault="00B43514">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0DE6126E" w14:textId="77777777" w:rsidR="00D71E8E" w:rsidRDefault="00B43514">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D71E8E" w14:paraId="0C6B8EDC" w14:textId="77777777">
        <w:tc>
          <w:tcPr>
            <w:tcW w:w="6440" w:type="dxa"/>
            <w:tcBorders>
              <w:bottom w:val="dotted" w:sz="3" w:space="0" w:color="275317"/>
            </w:tcBorders>
            <w:shd w:val="clear" w:color="auto" w:fill="F4F9EB"/>
            <w:vAlign w:val="center"/>
          </w:tcPr>
          <w:p w14:paraId="7A892769" w14:textId="77777777" w:rsidR="00D71E8E" w:rsidRDefault="00B43514">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7AB9E625" w14:textId="77777777" w:rsidR="00D71E8E" w:rsidRDefault="00B43514">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48BF1526" w14:textId="77777777" w:rsidR="00D71E8E" w:rsidRDefault="00B43514">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659B2872" w14:textId="77777777" w:rsidR="00D71E8E" w:rsidRDefault="00B43514">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D71E8E" w14:paraId="6D6F6BDB" w14:textId="77777777">
        <w:tc>
          <w:tcPr>
            <w:tcW w:w="6440" w:type="dxa"/>
            <w:shd w:val="clear" w:color="auto" w:fill="F4F9EB"/>
            <w:vAlign w:val="center"/>
          </w:tcPr>
          <w:p w14:paraId="1554418D" w14:textId="77777777" w:rsidR="00D71E8E" w:rsidRDefault="00B43514">
            <w:pPr>
              <w:numPr>
                <w:ilvl w:val="0"/>
                <w:numId w:val="2"/>
              </w:numPr>
              <w:ind w:left="240" w:hanging="300"/>
              <w:jc w:val="both"/>
            </w:pPr>
            <w:r>
              <w:rPr>
                <w:rFonts w:ascii="Calibri" w:hAnsi="Calibri" w:cs="Calibri"/>
                <w:b/>
                <w:color w:val="0D381F"/>
                <w:shd w:val="clear" w:color="auto" w:fill="F4F9EB"/>
              </w:rPr>
              <w:t>PBOC-</w:t>
            </w:r>
            <w:r>
              <w:rPr>
                <w:rFonts w:ascii="Calibri" w:hAnsi="Calibri" w:cs="Calibri"/>
                <w:color w:val="0D381F"/>
                <w:shd w:val="clear" w:color="auto" w:fill="F4F9EB"/>
              </w:rPr>
              <w:t>People’s Bank of China</w:t>
            </w:r>
          </w:p>
          <w:p w14:paraId="5C637777" w14:textId="77777777" w:rsidR="00D71E8E" w:rsidRDefault="00B43514">
            <w:pPr>
              <w:numPr>
                <w:ilvl w:val="0"/>
                <w:numId w:val="2"/>
              </w:numPr>
              <w:ind w:left="240" w:hanging="300"/>
              <w:jc w:val="both"/>
            </w:pPr>
            <w:r>
              <w:rPr>
                <w:rFonts w:ascii="Calibri" w:hAnsi="Calibri" w:cs="Calibri"/>
                <w:b/>
                <w:color w:val="0D381F"/>
                <w:shd w:val="clear" w:color="auto" w:fill="F4F9EB"/>
              </w:rPr>
              <w:t>NDRC-</w:t>
            </w:r>
            <w:r>
              <w:rPr>
                <w:rFonts w:ascii="Calibri" w:hAnsi="Calibri" w:cs="Calibri"/>
                <w:color w:val="0D381F"/>
                <w:shd w:val="clear" w:color="auto" w:fill="F4F9EB"/>
              </w:rPr>
              <w:t>National Development and Reform Commission</w:t>
            </w:r>
          </w:p>
          <w:p w14:paraId="6EEB07BD" w14:textId="77777777" w:rsidR="00D71E8E" w:rsidRDefault="00B43514">
            <w:pPr>
              <w:numPr>
                <w:ilvl w:val="0"/>
                <w:numId w:val="2"/>
              </w:numPr>
              <w:ind w:left="240" w:hanging="300"/>
              <w:jc w:val="both"/>
            </w:pPr>
            <w:r>
              <w:rPr>
                <w:rFonts w:ascii="Calibri" w:hAnsi="Calibri" w:cs="Calibri"/>
                <w:b/>
                <w:color w:val="0D381F"/>
                <w:shd w:val="clear" w:color="auto" w:fill="F4F9EB"/>
              </w:rPr>
              <w:t>CSRC-</w:t>
            </w:r>
            <w:r>
              <w:rPr>
                <w:rFonts w:ascii="Calibri" w:hAnsi="Calibri" w:cs="Calibri"/>
                <w:color w:val="0D381F"/>
                <w:shd w:val="clear" w:color="auto" w:fill="F4F9EB"/>
              </w:rPr>
              <w:t>China Securities Regulatory Commission</w:t>
            </w:r>
          </w:p>
        </w:tc>
        <w:tc>
          <w:tcPr>
            <w:tcW w:w="4000" w:type="dxa"/>
            <w:shd w:val="clear" w:color="auto" w:fill="F4F9EB"/>
            <w:vAlign w:val="center"/>
          </w:tcPr>
          <w:p w14:paraId="4994D2FF" w14:textId="77777777" w:rsidR="00D71E8E" w:rsidRDefault="00B43514">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D71E8E" w14:paraId="3FC5BEC4" w14:textId="77777777">
        <w:tc>
          <w:tcPr>
            <w:tcW w:w="3600" w:type="dxa"/>
            <w:shd w:val="clear" w:color="auto" w:fill="316729"/>
            <w:vAlign w:val="center"/>
          </w:tcPr>
          <w:p w14:paraId="6689ADFD" w14:textId="77777777" w:rsidR="00D71E8E" w:rsidRDefault="00B43514">
            <w:pPr>
              <w:jc w:val="center"/>
            </w:pPr>
            <w:r>
              <w:rPr>
                <w:rFonts w:ascii="Calibri" w:hAnsi="Calibri" w:cs="Calibri"/>
                <w:b/>
                <w:color w:val="FFFFFF"/>
              </w:rPr>
              <w:t>Catalogue</w:t>
            </w:r>
          </w:p>
        </w:tc>
        <w:tc>
          <w:tcPr>
            <w:tcW w:w="7840" w:type="dxa"/>
            <w:shd w:val="clear" w:color="auto" w:fill="316729"/>
            <w:vAlign w:val="center"/>
          </w:tcPr>
          <w:p w14:paraId="4AE49F72" w14:textId="77777777" w:rsidR="00D71E8E" w:rsidRDefault="00B43514">
            <w:pPr>
              <w:jc w:val="center"/>
            </w:pPr>
            <w:r>
              <w:rPr>
                <w:rFonts w:ascii="Calibri" w:hAnsi="Calibri" w:cs="Calibri"/>
                <w:b/>
                <w:color w:val="FFFFFF"/>
              </w:rPr>
              <w:t>Program</w:t>
            </w:r>
          </w:p>
        </w:tc>
      </w:tr>
      <w:tr w:rsidR="00D71E8E" w14:paraId="26A7D0BC" w14:textId="77777777">
        <w:tc>
          <w:tcPr>
            <w:tcW w:w="2600" w:type="dxa"/>
            <w:tcBorders>
              <w:bottom w:val="dotted" w:sz="3" w:space="0" w:color="275317"/>
            </w:tcBorders>
            <w:shd w:val="clear" w:color="auto" w:fill="F4F9EB"/>
            <w:vAlign w:val="center"/>
          </w:tcPr>
          <w:p w14:paraId="203443B1" w14:textId="77777777" w:rsidR="00D71E8E" w:rsidRDefault="00B43514">
            <w:pPr>
              <w:numPr>
                <w:ilvl w:val="0"/>
                <w:numId w:val="2"/>
              </w:numPr>
              <w:ind w:left="240" w:hanging="300"/>
              <w:jc w:val="both"/>
            </w:pPr>
            <w:r>
              <w:rPr>
                <w:rFonts w:ascii="Calibri" w:hAnsi="Calibri" w:cs="Calibri"/>
                <w:b/>
                <w:color w:val="0D381F"/>
                <w:shd w:val="clear" w:color="auto" w:fill="F4F9EB"/>
              </w:rPr>
              <w:t>GBEPC2021 – 5.2.1.5</w:t>
            </w:r>
          </w:p>
        </w:tc>
        <w:tc>
          <w:tcPr>
            <w:tcW w:w="8840" w:type="dxa"/>
            <w:tcBorders>
              <w:bottom w:val="dotted" w:sz="3" w:space="0" w:color="275317"/>
            </w:tcBorders>
            <w:shd w:val="clear" w:color="auto" w:fill="F4F9EB"/>
            <w:vAlign w:val="center"/>
          </w:tcPr>
          <w:p w14:paraId="101592A7" w14:textId="77777777" w:rsidR="00D71E8E" w:rsidRDefault="00B43514">
            <w:pPr>
              <w:numPr>
                <w:ilvl w:val="0"/>
                <w:numId w:val="2"/>
              </w:numPr>
              <w:ind w:left="240" w:hanging="300"/>
              <w:jc w:val="both"/>
            </w:pPr>
            <w:r>
              <w:rPr>
                <w:rFonts w:ascii="Calibri" w:hAnsi="Calibri" w:cs="Calibri"/>
                <w:color w:val="0D381F"/>
                <w:shd w:val="clear" w:color="auto" w:fill="F4F9EB"/>
              </w:rPr>
              <w:t xml:space="preserve">Energy Conservation and </w:t>
            </w:r>
            <w:r>
              <w:rPr>
                <w:rFonts w:ascii="Calibri" w:hAnsi="Calibri" w:cs="Calibri"/>
                <w:color w:val="0D381F"/>
                <w:shd w:val="clear" w:color="auto" w:fill="F4F9EB"/>
              </w:rPr>
              <w:t>Environmental-friendly Renovation of Existing Buildings</w:t>
            </w:r>
          </w:p>
        </w:tc>
      </w:tr>
      <w:tr w:rsidR="00D71E8E" w14:paraId="39449A63" w14:textId="77777777">
        <w:tc>
          <w:tcPr>
            <w:tcW w:w="2600" w:type="dxa"/>
            <w:shd w:val="clear" w:color="auto" w:fill="F4F9EB"/>
            <w:vAlign w:val="center"/>
          </w:tcPr>
          <w:p w14:paraId="0EFF7B64" w14:textId="77777777" w:rsidR="00D71E8E" w:rsidRDefault="00B43514">
            <w:pPr>
              <w:numPr>
                <w:ilvl w:val="0"/>
                <w:numId w:val="2"/>
              </w:numPr>
              <w:ind w:left="240" w:hanging="300"/>
              <w:jc w:val="both"/>
            </w:pPr>
            <w:r>
              <w:rPr>
                <w:rFonts w:ascii="Calibri" w:hAnsi="Calibri" w:cs="Calibri"/>
                <w:b/>
                <w:color w:val="0D381F"/>
                <w:shd w:val="clear" w:color="auto" w:fill="F4F9EB"/>
              </w:rPr>
              <w:t>GBEPC2021 – 5.2.1.6</w:t>
            </w:r>
          </w:p>
        </w:tc>
        <w:tc>
          <w:tcPr>
            <w:tcW w:w="8840" w:type="dxa"/>
            <w:shd w:val="clear" w:color="auto" w:fill="F4F9EB"/>
            <w:vAlign w:val="center"/>
          </w:tcPr>
          <w:p w14:paraId="7A2D5C8E" w14:textId="77777777" w:rsidR="00D71E8E" w:rsidRDefault="00B43514">
            <w:pPr>
              <w:numPr>
                <w:ilvl w:val="0"/>
                <w:numId w:val="2"/>
              </w:numPr>
              <w:ind w:left="240" w:hanging="300"/>
              <w:jc w:val="both"/>
            </w:pPr>
            <w:r>
              <w:rPr>
                <w:rFonts w:ascii="Calibri" w:hAnsi="Calibri" w:cs="Calibri"/>
                <w:color w:val="0D381F"/>
                <w:shd w:val="clear" w:color="auto" w:fill="F4F9EB"/>
              </w:rPr>
              <w:t>Green Warehousing Logistics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olor w:val="000000"/>
        </w:rPr>
        <w:t>CCX</w:t>
      </w:r>
      <w:r>
        <w:rPr>
          <w:rFonts w:ascii="Calibri" w:hAnsi="Calibri"/>
          <w:color w:val="FF0000"/>
        </w:rPr>
        <w:t>[9-11]</w:t>
      </w:r>
      <w:r>
        <w:rPr>
          <w:rFonts w:ascii="Calibri" w:hAnsi="Calibri"/>
          <w:color w:val="000000"/>
        </w:rPr>
        <w:t>GFI</w:t>
      </w:r>
      <w:r>
        <w:rPr>
          <w:rFonts w:ascii="Calibri" w:hAnsi="Calibri"/>
          <w:color w:val="000000"/>
        </w:rPr>
        <w:t xml:space="preserve"> offers pertinent and forward-thinking environmental, social, and governance (ESG) data, performance assessments and the CCX</w:t>
      </w:r>
      <w:r>
        <w:rPr>
          <w:rFonts w:ascii="Calibri" w:hAnsi="Calibri"/>
          <w:color w:val="FF0000"/>
        </w:rPr>
        <w:t>[9-12]</w:t>
      </w:r>
      <w:r>
        <w:rPr>
          <w:rFonts w:ascii="Calibri" w:hAnsi="Calibri"/>
          <w:color w:val="000000"/>
        </w:rPr>
        <w:t>GFI</w:t>
      </w:r>
      <w:r>
        <w:rPr>
          <w:rFonts w:ascii="Calibri" w:hAnsi="Calibri"/>
          <w:color w:val="000000"/>
        </w:rPr>
        <w:t xml:space="preserve"> 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olor w:val="000000"/>
        </w:rPr>
        <w:t>Analysts employing the scoring methodology, assign an overall score to the sustainable finance Framework and, when compared with the criteria of the CCX</w:t>
      </w:r>
      <w:r>
        <w:rPr>
          <w:rFonts w:ascii="Calibri" w:hAnsi="Calibri"/>
          <w:color w:val="FF0000"/>
        </w:rPr>
        <w:t>[9-13]</w:t>
      </w:r>
      <w:r>
        <w:rPr>
          <w:rFonts w:ascii="Calibri" w:hAnsi="Calibri"/>
          <w:color w:val="000000"/>
        </w:rPr>
        <w:t>GFI</w:t>
      </w:r>
      <w:r>
        <w:rPr>
          <w:rFonts w:ascii="Calibri" w:hAnsi="Calibri"/>
          <w:color w:val="000000"/>
        </w:rPr>
        <w:t xml:space="preserve"> 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55"/>
        <w:gridCol w:w="8485"/>
      </w:tblGrid>
      <w:tr w:rsidR="00D71E8E" w14:paraId="6A6A59CE" w14:textId="77777777">
        <w:tc>
          <w:tcPr>
            <w:tcW w:w="0" w:type="auto"/>
            <w:shd w:val="clear" w:color="auto" w:fill="316729"/>
            <w:vAlign w:val="center"/>
          </w:tcPr>
          <w:p w14:paraId="17E3A9E6" w14:textId="77777777" w:rsidR="00D71E8E" w:rsidRDefault="00B43514">
            <w:pPr>
              <w:jc w:val="center"/>
            </w:pPr>
            <w:r>
              <w:rPr>
                <w:rFonts w:ascii="Calibri" w:hAnsi="Calibri" w:cs="Calibri"/>
                <w:b/>
                <w:color w:val="FFFFFF"/>
              </w:rPr>
              <w:t>Project Category</w:t>
            </w:r>
          </w:p>
        </w:tc>
        <w:tc>
          <w:tcPr>
            <w:tcW w:w="0" w:type="auto"/>
            <w:shd w:val="clear" w:color="auto" w:fill="316729"/>
            <w:vAlign w:val="center"/>
          </w:tcPr>
          <w:p w14:paraId="13F99F8B" w14:textId="77777777" w:rsidR="00D71E8E" w:rsidRDefault="00B43514">
            <w:pPr>
              <w:jc w:val="center"/>
            </w:pPr>
            <w:r>
              <w:rPr>
                <w:rFonts w:ascii="Calibri" w:hAnsi="Calibri" w:cs="Calibri"/>
                <w:b/>
                <w:color w:val="FFFFFF"/>
              </w:rPr>
              <w:t>Impact Indicator</w:t>
            </w:r>
          </w:p>
        </w:tc>
      </w:tr>
      <w:tr w:rsidR="00D71E8E" w14:paraId="5B17FCCC" w14:textId="77777777">
        <w:tc>
          <w:tcPr>
            <w:tcW w:w="0" w:type="auto"/>
            <w:shd w:val="clear" w:color="auto" w:fill="F4F9EB"/>
            <w:vAlign w:val="center"/>
          </w:tcPr>
          <w:p w14:paraId="0D042A87" w14:textId="77777777" w:rsidR="00D71E8E" w:rsidRDefault="00B43514">
            <w:pPr>
              <w:jc w:val="center"/>
            </w:pPr>
            <w:r>
              <w:rPr>
                <w:rFonts w:ascii="Calibri" w:hAnsi="Calibri" w:cs="Calibri"/>
                <w:b/>
                <w:color w:val="0D381F"/>
              </w:rPr>
              <w:t>Green Building</w:t>
            </w:r>
          </w:p>
        </w:tc>
        <w:tc>
          <w:tcPr>
            <w:tcW w:w="0" w:type="auto"/>
            <w:shd w:val="clear" w:color="auto" w:fill="F4F9EB"/>
            <w:vAlign w:val="center"/>
          </w:tcPr>
          <w:p w14:paraId="73E025BA" w14:textId="77777777" w:rsidR="00D71E8E" w:rsidRDefault="00B43514">
            <w:pPr>
              <w:numPr>
                <w:ilvl w:val="0"/>
                <w:numId w:val="2"/>
              </w:numPr>
              <w:ind w:left="240" w:hanging="300"/>
            </w:pPr>
            <w:r>
              <w:rPr>
                <w:rFonts w:ascii="Calibri" w:hAnsi="Calibri"/>
              </w:rPr>
              <w:t xml:space="preserve">Type and level of </w:t>
            </w:r>
            <w:r>
              <w:rPr>
                <w:color w:val="FF0000"/>
              </w:rPr>
            </w:r>
            <w:r>
              <w:rPr>
                <w:rFonts w:ascii="Calibri" w:hAnsi="Calibri"/>
              </w:rPr>
              <w:t>green building</w:t>
            </w:r>
            <w:r>
              <w:rPr>
                <w:rFonts w:ascii="Calibri" w:hAnsi="Calibri"/>
              </w:rPr>
              <w:t xml:space="preserve"> certifications obtained</w:t>
            </w:r>
          </w:p>
          <w:p w14:paraId="7914429C" w14:textId="77777777" w:rsidR="00D71E8E" w:rsidRDefault="00B43514">
            <w:pPr>
              <w:numPr>
                <w:ilvl w:val="0"/>
                <w:numId w:val="2"/>
              </w:numPr>
              <w:ind w:left="240" w:hanging="300"/>
            </w:pPr>
            <w:r>
              <w:rPr>
                <w:rFonts w:ascii="Calibri" w:hAnsi="Calibri" w:cs="Calibri"/>
                <w:color w:val="0D381F"/>
                <w:shd w:val="clear" w:color="auto" w:fill="F4F9EB"/>
              </w:rPr>
              <w:t>Annual energy savings (in MW)</w:t>
            </w:r>
          </w:p>
          <w:p w14:paraId="194C4632" w14:textId="77777777" w:rsidR="00D71E8E" w:rsidRDefault="00B43514">
            <w:pPr>
              <w:numPr>
                <w:ilvl w:val="0"/>
                <w:numId w:val="2"/>
              </w:numPr>
              <w:ind w:left="240" w:hanging="300"/>
            </w:pPr>
            <w:r>
              <w:rPr>
                <w:rFonts w:ascii="Calibri" w:hAnsi="Calibri" w:cs="Calibri"/>
                <w:color w:val="0D381F"/>
                <w:shd w:val="clear" w:color="auto" w:fill="F4F9EB"/>
              </w:rPr>
              <w:t>Annual greenhouse gas (GHG) emissions reduced / avoided (in t CO₂ eq p.a.)</w:t>
            </w:r>
          </w:p>
          <w:p w14:paraId="1E2DB8D1" w14:textId="77777777" w:rsidR="00D71E8E" w:rsidRDefault="00B43514">
            <w:pPr>
              <w:numPr>
                <w:ilvl w:val="0"/>
                <w:numId w:val="2"/>
              </w:numPr>
              <w:ind w:left="240" w:hanging="300"/>
            </w:pPr>
            <w:r>
              <w:rPr>
                <w:rFonts w:ascii="Calibri" w:hAnsi="Calibri" w:cs="Calibri"/>
                <w:color w:val="0D381F"/>
                <w:shd w:val="clear" w:color="auto" w:fill="F4F9EB"/>
              </w:rPr>
              <w:t>Annual reduction in water consumption (in m³)</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CF0A7" w14:textId="77777777" w:rsidR="00B43514" w:rsidRDefault="00B43514">
      <w:r>
        <w:separator/>
      </w:r>
    </w:p>
  </w:endnote>
  <w:endnote w:type="continuationSeparator" w:id="0">
    <w:p w14:paraId="33282839" w14:textId="77777777" w:rsidR="00B43514" w:rsidRDefault="00B4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B43514"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Pr>
                                  <w:rFonts w:ascii="Calibri" w:hAnsi="Calibri" w:cs="Calibri"/>
                                  <w:color w:val="B5B5B5"/>
                                  <w:sz w:val="15"/>
                                  <w:szCs w:val="15"/>
                                </w:rPr>
                                <w:t>Fu Gang Construction Group Co. Limited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Fu Gang Construction Group Co. Limited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B43514">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3143E273ED46944AB9322A090351545C"/>
                              </w:placeholder>
                              <w:showingPlcHdr/>
                              <w15:appearance w15:val="hidden"/>
                            </w:sdtPr>
                            <w:sdtEndPr/>
                            <w:sdtContent>
                              <w:r>
                                <w:rPr>
                                  <w:rFonts w:ascii="Calibri" w:hAnsi="Calibri" w:cs="Calibri"/>
                                  <w:color w:val="B5B5B5"/>
                                  <w:sz w:val="15"/>
                                  <w:szCs w:val="15"/>
                                </w:rPr>
                                <w:t>December 5,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5,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71A09" w14:textId="77777777" w:rsidR="00B43514" w:rsidRDefault="00B43514">
      <w:r>
        <w:separator/>
      </w:r>
    </w:p>
  </w:footnote>
  <w:footnote w:type="continuationSeparator" w:id="0">
    <w:p w14:paraId="781F34FC" w14:textId="77777777" w:rsidR="00B43514" w:rsidRDefault="00B4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3.7pt;height:13.9pt" o:bullet="t">
        <v:imagedata r:id="rId1" o:title=""/>
      </v:shape>
    </w:pict>
  </w:numPicBullet>
  <w:numPicBullet w:numPicBulletId="1">
    <w:pict>
      <v:shape w14:anchorId="591255BA" id="_x0000_i1366"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13A2"/>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B6845"/>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4A92"/>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514"/>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1E8E"/>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B47D5"/>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335DC"/>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3143E273ED46944AB9322A090351545C">
    <w:name w:val="3143E273ED46944AB9322A090351545C"/>
    <w:rsid w:val="008335DC"/>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4500</Words>
  <Characters>25653</Characters>
  <Application>Microsoft Office Word</Application>
  <DocSecurity>0</DocSecurity>
  <Lines>213</Lines>
  <Paragraphs>60</Paragraphs>
  <ScaleCrop>false</ScaleCrop>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4</cp:revision>
  <cp:lastPrinted>2024-09-22T06:23:00Z</cp:lastPrinted>
  <dcterms:created xsi:type="dcterms:W3CDTF">2024-12-13T05:49:00Z</dcterms:created>
  <dcterms:modified xsi:type="dcterms:W3CDTF">2024-12-13T06:16:00Z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