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Nanyang Urban Investment Holdings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"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id="文本框 8" o:spid="_x0000_s1028" stroked="f" strokeweight=".5pt" filled="f">
                <v:textbox>
                  <w:txbxContent>
                    <w:p w:rsidR="00692F67" w:rsidRDefault="00F72557" w14:paraId="3DD135AF" w14:textId="1BF08C9F">
                      <w:pPr>
                        <w:spacing w:line="600" w:lineRule="exact"/>
                        <w:rPr>
                          <w:rFonts w:ascii="Calibri" w:hAnsi="Calibri" w:eastAsia="HarmonyOS Sans SC Black" w:cs="Calibri"/>
                          <w:b/>
                          <w:bCs/>
                          <w:sz w:val="62"/>
                          <w:szCs w:val="62"/>
                          <w:lang w:val="en-GB"/>
                        </w:rPr>
                      </w:pPr>
                      <w:r>
                        <w:rPr>
                          <w:rFonts w:ascii="Calibri" w:hAnsi="Calibri" w:eastAsia="Calibri" w:cs="Calibri"/>
                          <w:b/>
                          <w:sz w:val="62"/>
                          <w:szCs w:val="62"/>
                        </w:rPr>
                        <w:t>Nanyang Urban Investment Holdings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南阳城投控股有限公司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南阳城投控股有限公司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721610"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721610"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0,0l0,21600,21600,21600,21600,0xe" coordsize="21600,21600" id="_x0000_t202">
                <v:stroke joinstyle="miter"/>
                <v:path gradientshapeok="t" o:connecttype="rect"/>
              </v:shapetype>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" type="#_x0000_t202" style="position:absolute;margin-left:-6.3pt;margin-top:15.1pt;width:214.3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4496E8A1"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Nanyang Urban Investment Holdings Co., Ltd. Green Finance Framework, assessing its alignment with the GBP2021 (with 2022 Appendix I) and GLP2023, relevance to the </w:t>
                            </w:r>
                            <w:r w:rsidR="00A524F5">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Nanyang Urban Investment Holdings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A508FA2" id="_x0000_t202" coordsize="21600,21600" o:spt="202" path="m,l,21600r21600,l21600,xe">
                <v:stroke joinstyle="miter"/>
                <v:path gradientshapeok="t" o:connecttype="rect"/>
              </v:shapetype>
              <v:shape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4496E8A1"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Nanyang Urban Investment Holdings Co., Ltd. Green Finance Framework, assessing its alignment with the GBP2021 (with 2022 Appendix I) and GLP2023, relevance to the </w:t>
                      </w:r>
                      <w:r w:rsidR="00A524F5">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Nanyang Urban Investment Holdings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Green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Henan,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Henan,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Mar 10,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Mar 10, 2025</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1290"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1290"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" type="#_x0000_t202" style="position:absolute;margin-left:29.7pt;margin-top:4.65pt;width:112.7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w:t>
                            </w:r>
                            <w:r w:rsidR="00E76D97">
                              <w:br/>
                            </w:r>
                            <w:r>
                              <w:rPr>
                                <w:rFonts w:ascii="Calibri Light" w:eastAsia="Calibri Light" w:hAnsi="Calibri Light" w:cs="Calibri Light"/>
                              </w:rPr>
                              <w:t>(with June 2022 Appendix I)</w:t>
                            </w:r>
                            <w:r w:rsidR="00E76D97">
                              <w:br/>
                            </w:r>
                            <w:r>
                              <w:rPr>
                                <w:rFonts w:ascii="Calibri Light" w:eastAsia="Calibri Light" w:hAnsi="Calibri Light" w:cs="Calibri Light"/>
                              </w:rPr>
                              <w:t>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Green Bond Principles 2021</w:t>
                      </w:r>
                      <w:br/>
                      <w:r>
                        <w:rPr>
                          <w:rFonts w:ascii="Calibri Light" w:hAnsi="Calibri Light" w:eastAsia="Calibri Light" w:cs="Calibri Light"/>
                          <w:sz w:val="24"/>
                          <w:szCs w:val="24"/>
                        </w:rPr>
                        <w:t>(with June 2022 Appendix I)</w:t>
                      </w:r>
                      <w:br/>
                      <w:r>
                        <w:rPr>
                          <w:rFonts w:ascii="Calibri Light" w:hAnsi="Calibri Light" w:eastAsia="Calibri Light" w:cs="Calibri Light"/>
                          <w:sz w:val="24"/>
                          <w:szCs w:val="24"/>
                        </w:rPr>
                        <w:t>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38200" cy="29845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" type="#_x0000_t202" style="position:absolute;margin-left:27.85pt;margin-top:11.75pt;width:66pt;height:23.5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98450"/>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" type="#_x0000_t202" style="position:absolute;margin-left:211.25pt;margin-top:13.8pt;width:55.55pt;height:2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98450"/>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" type="#_x0000_t202" style="position:absolute;margin-left:137.5pt;margin-top:-2.55pt;width:32.8pt;height:2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9845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" type="#_x0000_t202" style="position:absolute;margin-left:304.8pt;margin-top:-2.7pt;width:37.45pt;height:23.5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24230" cy="29845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24230" cy="29845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" type="#_x0000_t202" style="position:absolute;margin-left:28.6pt;margin-top:6pt;width:64.9pt;height:23.5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98450"/>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" type="#_x0000_t202" style="position:absolute;margin-left:304.7pt;margin-top:5.5pt;width:37.45pt;height:2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98450"/>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" type="#_x0000_t202" style="position:absolute;margin-left:137.35pt;margin-top:5.2pt;width:32.8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98450"/>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" type="#_x0000_t202" style="position:absolute;margin-left:211.35pt;margin-top:5.15pt;width:55.55pt;height:2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20420" cy="29845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20420" cy="29845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" type="#_x0000_t202" style="position:absolute;margin-left:28.55pt;margin-top:2.5pt;width:64.6pt;height:23.5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98450"/>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" type="#_x0000_t202" style="position:absolute;margin-left:304.9pt;margin-top:.85pt;width:37.45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98450"/>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" type="#_x0000_t202" style="position:absolute;margin-left:137.6pt;margin-top:.55pt;width:32.8pt;height:2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98450"/>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" type="#_x0000_t202" style="position:absolute;margin-left:210.95pt;margin-top:.85pt;width:55.55pt;height:2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21435" cy="29845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21435" cy="29845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" type="#_x0000_t202" style="position:absolute;margin-left:8.8pt;margin-top:2.65pt;width:104.05pt;height:23.5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98450"/>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98450"/>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" type="#_x0000_t202" style="position:absolute;margin-left:304.8pt;margin-top:.5pt;width:46.2pt;height:2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98450"/>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" type="#_x0000_t202" style="position:absolute;margin-left:137.4pt;margin-top:.5pt;width:66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98450"/>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" type="#_x0000_t202" style="position:absolute;margin-left:211.35pt;margin-top:.85pt;width:55.55pt;height:2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734664" w:rsidP="003325E2">
      <w:pPr>
        <w:spacing w:beforeLines="50" w:before="163" w:after="160"/>
        <w:jc w:val="both"/>
        <w:rPr>
          <w:rFonts w:ascii="Calibri" w:hAnsi="Calibri" w:cs="Calibri"/>
          <w:b/>
          <w:bCs/>
        </w:rPr>
      </w:pPr>
      <w:r>
        <w:rPr>
          <w:rFonts w:ascii="Calibri" w:hAnsi="Calibri" w:cs="Calibri"/>
          <w:b/>
        </w:rPr>
        <w:t>CCXGFI has provided a SPO on Nanyang Urban Investment Holdings Co., Ltd.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2DBAA18C" w14:textId="77777777" w:rsidR="001C2647" w:rsidRDefault="00E76D97">
      <w:pPr>
        <w:numPr>
          <w:ilvl w:val="0"/>
          <w:numId w:val="3"/>
        </w:numPr>
      </w:pPr>
      <w:r>
        <w:rPr>
          <w:rFonts w:ascii="Calibri" w:hAnsi="Calibri" w:cs="Calibri"/>
        </w:rPr>
        <w:t>GBP2021: Green Bond Principles 2021 (with June 2022 Appendix I) by ICMA</w:t>
      </w:r>
    </w:p>
    <w:p w14:paraId="6BD4385F" w14:textId="77777777" w:rsidR="001C2647" w:rsidRDefault="00E76D97">
      <w:pPr>
        <w:numPr>
          <w:ilvl w:val="0"/>
          <w:numId w:val="3"/>
        </w:numPr>
      </w:pPr>
      <w:r>
        <w:rPr>
          <w:rFonts w:ascii="Calibri" w:hAnsi="Calibri" w:cs="Calibri"/>
        </w:rPr>
        <w:t>GLP2023: Green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47837D69" w14:textId="77777777" w:rsidR="001C2647" w:rsidRDefault="00E76D97">
      <w:pPr>
        <w:spacing w:beforeLines="50" w:before="163" w:after="160"/>
        <w:jc w:val="both"/>
      </w:pPr>
      <w:r>
        <w:rPr>
          <w:rFonts w:ascii="Calibri" w:hAnsi="Calibri" w:cs="Calibri"/>
        </w:rPr>
        <w:t>Nanyang Urban Investment Holdings Co., Ltd. (the “</w:t>
      </w:r>
      <w:r>
        <w:rPr>
          <w:rFonts w:ascii="Calibri" w:hAnsi="Calibri"/>
          <w:color w:val="FF0000"/>
        </w:rPr>
        <w:t>[8-1]</w:t>
      </w:r>
      <w:r>
        <w:rPr>
          <w:rFonts w:ascii="Calibri" w:hAnsi="Calibri"/>
        </w:rPr>
        <w:t>Company”, together with its subsidiaries the “Group”) is a state-owned enterprise located in Nanyang City, Henan Province in China. The Group was established on 27 August 2020. As of February 2025, the registered capital of the group is RMB2.0 billion. The group is wholly owned by Nanyang Investment Group Co., Ltd., which is in turn wholly owned by Nanyang State-owned Capital Investment Holding Group Co., Ltd. (an entity wholly owned by Nanyang Finance Bureau).</w:t>
      </w:r>
    </w:p>
    <w:p w14:paraId="1A6F0A60" w14:textId="77777777" w:rsidR="001C2647" w:rsidRDefault="00E76D97">
      <w:pPr>
        <w:spacing w:beforeLines="50" w:before="163" w:after="160"/>
        <w:jc w:val="both"/>
      </w:pPr>
      <w:r>
        <w:rPr>
          <w:rFonts w:ascii="Calibri" w:hAnsi="Calibri" w:cs="Calibri"/>
        </w:rPr>
        <w:t>The Group’s business segments include (i) sewage treatment, (ii) sales of goods, (iii) sales of properties, and (iv) other businesses. The Group’s sewage treatment business covers the north bank of Baihe River in the downtown area of Nanyang City, with a service area of approximately 82 square kilometers and a service population of approximately 1.2 million people. The Group’s sales of goods business mainly include medical supplies sales business, hog sales business and other commodities sales business. The Group’s real estate projects include residence and residential and commercial real estate projects, all of which are located in the downtown area of Nanyang City. Apart from its principal businesses including sewage treatment, sales of goods and sales of properties, the Group also engages in other business, such as infrastructure construction, leasing, property management, parking, advertisement, creative services, catering and accommodation and others.</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215ECE15" w14:textId="0718AD2C" w:rsidR="001C2647" w:rsidRDefault="00E76D97">
            <w:pPr>
              <w:numPr>
                <w:ilvl w:val="0"/>
                <w:numId w:val="2"/>
              </w:numPr>
              <w:jc w:val="both"/>
            </w:pPr>
            <w:r>
              <w:rPr>
                <w:rFonts w:ascii="Calibri" w:hAnsi="Calibri" w:cs="Calibri"/>
                <w:color w:val="0D381F"/>
              </w:rPr>
              <w:t>For Use of Proceeds</w:t>
            </w:r>
            <w:r w:rsidR="000F25C1">
              <w:rPr>
                <w:rFonts w:ascii="Calibri" w:hAnsi="Calibri" w:cs="Calibri" w:hint="eastAsia"/>
                <w:color w:val="0D381F"/>
              </w:rPr>
              <w:t>,</w:t>
            </w:r>
            <w:r w:rsidR="000F25C1">
              <w:rPr>
                <w:rFonts w:ascii="Calibri" w:hAnsi="Calibri" w:cs="Calibri"/>
                <w:color w:val="0D381F"/>
              </w:rPr>
              <w:t xml:space="preserve"> </w:t>
            </w:r>
            <w:r>
              <w:rPr>
                <w:rFonts w:ascii="Calibri" w:hAnsi="Calibri" w:cs="Calibri"/>
                <w:color w:val="0D381F"/>
              </w:rPr>
              <w:t>the Eligible Green Projects Category is Sustainable Water and Wastewater Management.</w:t>
            </w:r>
          </w:p>
          <w:p w14:paraId="4D14D1CC" w14:textId="77777777" w:rsidR="001C2647" w:rsidRDefault="00E76D97">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w:t>
            </w:r>
          </w:p>
          <w:p w14:paraId="32C1549B" w14:textId="77777777" w:rsidR="001C2647" w:rsidRDefault="00E76D97">
            <w:pPr>
              <w:numPr>
                <w:ilvl w:val="0"/>
                <w:numId w:val="2"/>
              </w:numPr>
              <w:jc w:val="both"/>
            </w:pPr>
            <w:r>
              <w:rPr>
                <w:rFonts w:ascii="Calibri" w:hAnsi="Calibri" w:cs="Calibri"/>
                <w:color w:val="0D381F"/>
              </w:rPr>
              <w:t>For Management of Proceeds, the proceeds from Green Financing Transactions (“GFTs”) will be deposited in general funding accounts and the Group will maintain a register to keep track of the use of proceeds if depositing the proceeds in general funding accounts. The Green Financing Team (the “Team”) will ensure that projects no longer meeting the selection criteria detailed in the Framework will be removed and/or substituted on a best efforts basis throughout the life of the bond/loan. Also, the unallocated proceeds will be temporarily held on cash, cash equivalent instruments, or temporary placements.</w:t>
            </w:r>
          </w:p>
          <w:p w14:paraId="3DD77B73" w14:textId="77777777" w:rsidR="001C2647" w:rsidRDefault="00E76D97">
            <w:pPr>
              <w:numPr>
                <w:ilvl w:val="0"/>
                <w:numId w:val="2"/>
              </w:numPr>
              <w:jc w:val="both"/>
            </w:pPr>
            <w:r>
              <w:rPr>
                <w:rFonts w:ascii="Calibri" w:hAnsi="Calibri" w:cs="Calibri"/>
                <w:color w:val="0D381F"/>
              </w:rPr>
              <w:t>For Reporting, the Group is committed to reporting the allocation of net proceeds annually until all the net proceeds are allocated to Eligible Projects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0EA7CD03" w14:textId="77777777" w:rsidR="001C2647" w:rsidRDefault="00E76D97">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rsidTr="00AA2757">
        <w:trPr>
          <w:trHeight w:val="2562"/>
        </w:trPr>
        <w:tc>
          <w:tcPr>
            <w:tcW w:w="10514" w:type="dxa"/>
            <w:tcBorders>
              <w:top w:val="nil"/>
              <w:left w:val="nil"/>
              <w:bottom w:val="nil"/>
              <w:right w:val="nil"/>
            </w:tcBorders>
            <w:shd w:val="clear" w:color="auto" w:fill="F4F9EB"/>
            <w:vAlign w:val="center"/>
          </w:tcPr>
          <w:p w14:paraId="113248CD" w14:textId="77777777" w:rsidR="001C2647" w:rsidRDefault="00E76D97">
            <w:pPr>
              <w:numPr>
                <w:ilvl w:val="0"/>
                <w:numId w:val="2"/>
              </w:numPr>
              <w:jc w:val="both"/>
            </w:pPr>
            <w:r>
              <w:rPr>
                <w:rFonts w:ascii="Calibri" w:hAnsi="Calibri" w:cs="Calibri"/>
                <w:color w:val="0D381F"/>
              </w:rPr>
              <w:t>CCXGFI has reviewed the Group’s Framework and evaluated the proposed use of proceeds.</w:t>
            </w:r>
          </w:p>
          <w:p w14:paraId="511FACF9" w14:textId="77777777" w:rsidR="001C2647" w:rsidRDefault="00E76D97">
            <w:pPr>
              <w:numPr>
                <w:ilvl w:val="0"/>
                <w:numId w:val="2"/>
              </w:numPr>
              <w:jc w:val="both"/>
            </w:pPr>
            <w:r>
              <w:rPr>
                <w:rFonts w:ascii="Calibri" w:hAnsi="Calibri" w:cs="Calibri"/>
                <w:color w:val="0D381F"/>
              </w:rPr>
              <w:t>The investments in eligible category are anticipated to deliver significant environmental benefits while contributing to the achievement of several UN Sustainable Development Goals, specifically SDGs 6. Additionally, the Group has identified a list of excluded project types based on the International Finance Corporation’s exclusion list.</w:t>
            </w:r>
          </w:p>
          <w:p w14:paraId="473BB7C1" w14:textId="77777777" w:rsidR="001C2647" w:rsidRDefault="00E76D97">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59054526" w14:textId="77777777" w:rsidR="001C2647" w:rsidRDefault="00E76D97">
      <w:pPr>
        <w:spacing w:beforeLines="50" w:before="163" w:after="160"/>
        <w:jc w:val="both"/>
      </w:pPr>
      <w:r>
        <w:rPr>
          <w:rFonts w:ascii="Calibri" w:hAnsi="Calibri" w:cs="Calibri"/>
        </w:rPr>
        <w:t>The Group will exclusively allocate an amount at least equivalent to the net proceeds of GFTs issued under this Framework to finance or refinance, in whole or in part, new or existing projects which meet the eligibility criteria of the following eligible green projects categories, as defined in the Project Category table.</w:t>
      </w:r>
    </w:p>
    <w:p w14:paraId="3A3A9B12" w14:textId="77777777" w:rsidR="001C2647" w:rsidRDefault="00E76D97">
      <w:pPr>
        <w:spacing w:beforeLines="50" w:before="163" w:after="160"/>
        <w:jc w:val="both"/>
      </w:pPr>
      <w:r>
        <w:rPr>
          <w:rFonts w:ascii="Calibri" w:hAnsi="Calibri" w:cs="Calibri"/>
        </w:rPr>
        <w:t>The Group expects each issuance under this Framework to be fully allocated within XX months from the date of issuance/borrowing and on a best-efforts basis. A maximum of XX months look-back period would apply for refinanced projects. The proportion of financing and refinancing for the eligible green projects will be disclosed in the Group’s allocation report.</w:t>
      </w:r>
    </w:p>
    <w:p w14:paraId="755BDA53" w14:textId="77777777" w:rsidR="001C2647" w:rsidRDefault="00E76D97">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44"/>
        <w:gridCol w:w="4912"/>
        <w:gridCol w:w="1384"/>
      </w:tblGrid>
      <w:tr w:rsidR="001C2647" w14:paraId="3D6AA8B9" w14:textId="77777777">
        <w:tc>
          <w:tcPr>
            <w:tcW w:w="4000" w:type="dxa"/>
            <w:shd w:val="clear" w:color="auto" w:fill="316729"/>
            <w:vAlign w:val="center"/>
          </w:tcPr>
          <w:p w14:paraId="5FD3ABB8" w14:textId="77777777" w:rsidR="001C2647" w:rsidRDefault="00E76D97">
            <w:r>
              <w:rPr>
                <w:rFonts w:ascii="Calibri" w:hAnsi="Calibri" w:cs="Calibri"/>
                <w:b/>
                <w:color w:val="FFFFFF"/>
              </w:rPr>
              <w:t>Principles Requirement</w:t>
            </w:r>
          </w:p>
        </w:tc>
        <w:tc>
          <w:tcPr>
            <w:tcW w:w="4000" w:type="dxa"/>
            <w:shd w:val="clear" w:color="auto" w:fill="316729"/>
            <w:vAlign w:val="center"/>
          </w:tcPr>
          <w:p w14:paraId="566F9E90" w14:textId="77777777" w:rsidR="001C2647" w:rsidRDefault="00E76D97">
            <w:r>
              <w:rPr>
                <w:rFonts w:ascii="Calibri" w:hAnsi="Calibri" w:cs="Calibri"/>
                <w:b/>
                <w:color w:val="FFFFFF"/>
              </w:rPr>
              <w:t>Factual Finding</w:t>
            </w:r>
          </w:p>
        </w:tc>
        <w:tc>
          <w:tcPr>
            <w:tcW w:w="2440" w:type="dxa"/>
            <w:shd w:val="clear" w:color="auto" w:fill="316729"/>
            <w:vAlign w:val="center"/>
          </w:tcPr>
          <w:p w14:paraId="1322E9A9" w14:textId="77777777" w:rsidR="001C2647" w:rsidRDefault="00E76D97">
            <w:r>
              <w:rPr>
                <w:rFonts w:ascii="Calibri" w:hAnsi="Calibri" w:cs="Calibri"/>
                <w:b/>
                <w:color w:val="FFFFFF"/>
              </w:rPr>
              <w:t>Alignment</w:t>
            </w:r>
          </w:p>
        </w:tc>
      </w:tr>
      <w:tr w:rsidR="001C2647" w14:paraId="6C8E0342" w14:textId="77777777">
        <w:tc>
          <w:tcPr>
            <w:tcW w:w="0" w:type="auto"/>
            <w:tcBorders>
              <w:bottom w:val="dotted" w:sz="3" w:space="0" w:color="275317"/>
            </w:tcBorders>
            <w:shd w:val="clear" w:color="auto" w:fill="F4F9EB"/>
            <w:vAlign w:val="center"/>
          </w:tcPr>
          <w:p w14:paraId="3FD7A11E" w14:textId="77777777" w:rsidR="001C2647" w:rsidRDefault="00E76D97">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4E4CC28E" w14:textId="77777777" w:rsidR="001C2647" w:rsidRDefault="00E76D97">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71D0A670" w14:textId="77777777" w:rsidR="001C2647" w:rsidRDefault="00E76D97">
            <w:pPr>
              <w:jc w:val="center"/>
            </w:pPr>
            <w:r>
              <w:rPr>
                <w:rFonts w:ascii="Wingdings" w:hAnsi="Wingdings" w:cs="Wingdings"/>
                <w:color w:val="4EA72E"/>
                <w:sz w:val="36"/>
                <w:szCs w:val="36"/>
                <w:shd w:val="clear" w:color="auto" w:fill="F4F9EB"/>
              </w:rPr>
              <w:t>ü</w:t>
            </w:r>
          </w:p>
        </w:tc>
      </w:tr>
      <w:tr w:rsidR="001C2647" w14:paraId="43010A41" w14:textId="77777777">
        <w:tc>
          <w:tcPr>
            <w:tcW w:w="0" w:type="auto"/>
            <w:tcBorders>
              <w:bottom w:val="dotted" w:sz="3" w:space="0" w:color="275317"/>
            </w:tcBorders>
            <w:shd w:val="clear" w:color="auto" w:fill="F4F9EB"/>
            <w:vAlign w:val="center"/>
          </w:tcPr>
          <w:p w14:paraId="1F1FDC76" w14:textId="77777777" w:rsidR="001C2647" w:rsidRDefault="00E76D97">
            <w:pPr>
              <w:jc w:val="both"/>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24595A7C" w14:textId="77777777" w:rsidR="001C2647" w:rsidRDefault="00E76D97">
            <w:pPr>
              <w:jc w:val="both"/>
            </w:pPr>
            <w:r>
              <w:rPr>
                <w:rFonts w:ascii="Calibri" w:hAnsi="Calibri" w:cs="Calibri"/>
                <w:color w:val="0D381F"/>
                <w:shd w:val="clear" w:color="auto" w:fill="F4F9EB"/>
              </w:rPr>
              <w:t xml:space="preserve">The Framework has declared that the net use of proceeds will exclusively finance and/or refinance, in part or in full, projects under the listed categories with a look-back period of no longer than XX months from the time of </w:t>
            </w:r>
            <w:r>
              <w:rPr>
                <w:rFonts w:ascii="Calibri" w:hAnsi="Calibri" w:cs="Calibri"/>
                <w:color w:val="0D381F"/>
                <w:shd w:val="clear" w:color="auto" w:fill="F4F9EB"/>
              </w:rPr>
              <w:lastRenderedPageBreak/>
              <w:t>issuance, and the Group will provide an estimate of the share of financing vs. refinancing.</w:t>
            </w:r>
          </w:p>
        </w:tc>
        <w:tc>
          <w:tcPr>
            <w:tcW w:w="0" w:type="auto"/>
            <w:tcBorders>
              <w:bottom w:val="dotted" w:sz="3" w:space="0" w:color="275317"/>
            </w:tcBorders>
            <w:shd w:val="clear" w:color="auto" w:fill="F4F9EB"/>
            <w:vAlign w:val="center"/>
          </w:tcPr>
          <w:p w14:paraId="12F102B1" w14:textId="77777777" w:rsidR="001C2647" w:rsidRDefault="00E76D97">
            <w:pPr>
              <w:jc w:val="center"/>
            </w:pPr>
            <w:r>
              <w:rPr>
                <w:rFonts w:ascii="Wingdings" w:hAnsi="Wingdings" w:cs="Wingdings"/>
                <w:color w:val="4EA72E"/>
                <w:sz w:val="36"/>
                <w:szCs w:val="36"/>
                <w:shd w:val="clear" w:color="auto" w:fill="F4F9EB"/>
              </w:rPr>
              <w:lastRenderedPageBreak/>
              <w:t>ü</w:t>
            </w:r>
          </w:p>
        </w:tc>
      </w:tr>
      <w:tr w:rsidR="001C2647" w14:paraId="7F0CC7DC" w14:textId="77777777">
        <w:tc>
          <w:tcPr>
            <w:tcW w:w="0" w:type="auto"/>
            <w:tcBorders>
              <w:bottom w:val="dotted" w:sz="3" w:space="0" w:color="275317"/>
            </w:tcBorders>
            <w:shd w:val="clear" w:color="auto" w:fill="F4F9EB"/>
            <w:vAlign w:val="center"/>
          </w:tcPr>
          <w:p w14:paraId="19F3442B" w14:textId="77777777" w:rsidR="001C2647" w:rsidRDefault="00E76D97">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248AF652" w14:textId="77777777" w:rsidR="001C2647" w:rsidRDefault="00E76D97">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02187352" w14:textId="77777777" w:rsidR="001C2647" w:rsidRDefault="00E76D97">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95"/>
        <w:gridCol w:w="5017"/>
        <w:gridCol w:w="1934"/>
        <w:gridCol w:w="1594"/>
      </w:tblGrid>
      <w:tr w:rsidR="001C2647" w14:paraId="1184A1EC" w14:textId="77777777">
        <w:tc>
          <w:tcPr>
            <w:tcW w:w="2000" w:type="dxa"/>
            <w:shd w:val="clear" w:color="auto" w:fill="316729"/>
            <w:vAlign w:val="center"/>
          </w:tcPr>
          <w:p w14:paraId="285C302C" w14:textId="77777777" w:rsidR="001C2647" w:rsidRDefault="00E76D97">
            <w:pPr>
              <w:jc w:val="center"/>
            </w:pPr>
            <w:r>
              <w:rPr>
                <w:rFonts w:ascii="Calibri" w:hAnsi="Calibri" w:cs="Calibri"/>
                <w:b/>
                <w:color w:val="FFFFFF"/>
              </w:rPr>
              <w:t>Green Project Category</w:t>
            </w:r>
          </w:p>
        </w:tc>
        <w:tc>
          <w:tcPr>
            <w:tcW w:w="6000" w:type="dxa"/>
            <w:shd w:val="clear" w:color="auto" w:fill="316729"/>
            <w:vAlign w:val="center"/>
          </w:tcPr>
          <w:p w14:paraId="73B0CC17" w14:textId="77777777" w:rsidR="001C2647" w:rsidRDefault="00E76D97">
            <w:pPr>
              <w:jc w:val="center"/>
            </w:pPr>
            <w:r>
              <w:rPr>
                <w:rFonts w:ascii="Calibri" w:hAnsi="Calibri" w:cs="Calibri"/>
                <w:b/>
                <w:color w:val="FFFFFF"/>
              </w:rPr>
              <w:t>Eligible Projects Technical Screening Criteria</w:t>
            </w:r>
          </w:p>
        </w:tc>
        <w:tc>
          <w:tcPr>
            <w:tcW w:w="2000" w:type="dxa"/>
            <w:shd w:val="clear" w:color="auto" w:fill="316729"/>
            <w:vAlign w:val="center"/>
          </w:tcPr>
          <w:p w14:paraId="609292D4" w14:textId="77777777" w:rsidR="001C2647" w:rsidRDefault="00E76D97">
            <w:pPr>
              <w:jc w:val="center"/>
            </w:pPr>
            <w:r>
              <w:rPr>
                <w:rFonts w:ascii="Calibri" w:hAnsi="Calibri" w:cs="Calibri"/>
                <w:b/>
                <w:color w:val="FFFFFF"/>
              </w:rPr>
              <w:t>Identified Objective</w:t>
            </w:r>
          </w:p>
        </w:tc>
        <w:tc>
          <w:tcPr>
            <w:tcW w:w="1488" w:type="dxa"/>
            <w:shd w:val="clear" w:color="auto" w:fill="316729"/>
            <w:vAlign w:val="center"/>
          </w:tcPr>
          <w:p w14:paraId="7217AE3F" w14:textId="77777777" w:rsidR="001C2647" w:rsidRDefault="00E76D97">
            <w:pPr>
              <w:jc w:val="center"/>
            </w:pPr>
            <w:r>
              <w:rPr>
                <w:rFonts w:ascii="Calibri" w:hAnsi="Calibri" w:cs="Calibri"/>
                <w:b/>
                <w:color w:val="FFFFFF"/>
              </w:rPr>
              <w:t>Alignment</w:t>
            </w:r>
          </w:p>
        </w:tc>
      </w:tr>
      <w:tr w:rsidR="001C2647" w14:paraId="418A7489" w14:textId="77777777">
        <w:tc>
          <w:tcPr>
            <w:tcW w:w="2000" w:type="dxa"/>
            <w:shd w:val="clear" w:color="auto" w:fill="F4F9EB"/>
            <w:vAlign w:val="center"/>
          </w:tcPr>
          <w:p w14:paraId="2844981A" w14:textId="77777777" w:rsidR="001C2647" w:rsidRDefault="00E76D97">
            <w:pPr>
              <w:jc w:val="center"/>
            </w:pPr>
            <w:r>
              <w:rPr>
                <w:rFonts w:ascii="Calibri" w:hAnsi="Calibri" w:cs="Calibri"/>
                <w:b/>
                <w:color w:val="0D381F"/>
              </w:rPr>
              <w:t>Sustainable Water and Wastewater Management</w:t>
            </w:r>
          </w:p>
          <w:p w14:paraId="6A8BEE37" w14:textId="77777777" w:rsidR="001C2647" w:rsidRDefault="001C2647">
            <w:pPr>
              <w:jc w:val="center"/>
            </w:pPr>
          </w:p>
          <w:p w14:paraId="153EACD8" w14:textId="77777777" w:rsidR="001C2647" w:rsidRDefault="00E76D97">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0"/>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20798D6C" w14:textId="77777777" w:rsidR="001C2647" w:rsidRDefault="00E76D97">
            <w:pPr>
              <w:numPr>
                <w:ilvl w:val="0"/>
                <w:numId w:val="2"/>
              </w:numPr>
              <w:ind w:left="240" w:hanging="300"/>
            </w:pPr>
            <w:r>
              <w:rPr>
                <w:rFonts w:ascii="Calibri" w:hAnsi="Calibri" w:cs="Calibri"/>
                <w:color w:val="0D381F"/>
                <w:shd w:val="clear" w:color="auto" w:fill="F4F9EB"/>
              </w:rPr>
              <w:t>Watershed and Marine Water Environment Management: This refers to management activities aimed at improving water environment quality and restoring aquatic ecological functions through coordinated measures such as river dredging, wetland conservation and restoration, and vegetation recovery. These activities include, but are not limited to, river ecological corridor management and construction projects, reservoir ecological dredging projects, and wetland ecological management and construction projects</w:t>
            </w:r>
          </w:p>
          <w:p w14:paraId="72332F7D" w14:textId="77777777" w:rsidR="001C2647" w:rsidRDefault="00E76D97">
            <w:pPr>
              <w:numPr>
                <w:ilvl w:val="0"/>
                <w:numId w:val="2"/>
              </w:numPr>
              <w:ind w:left="240" w:hanging="300"/>
            </w:pPr>
            <w:r>
              <w:rPr>
                <w:rFonts w:ascii="Calibri" w:hAnsi="Calibri" w:cs="Calibri"/>
                <w:color w:val="0D381F"/>
                <w:shd w:val="clear" w:color="auto" w:fill="F4F9EB"/>
              </w:rPr>
              <w:t>Protection and Restoration of Rivers, Lakes, and Wetlands: This involves implementing management, restoration, and protection measures tailored to local conditions to promote the preservation of native ecosystems and biodiversity in rivers, lakes, and wetlands, thereby enhancing their ecological integrity and sustainability. These activities include, but are not limited to, wetland ecological management and construction projects</w:t>
            </w:r>
          </w:p>
        </w:tc>
        <w:tc>
          <w:tcPr>
            <w:tcW w:w="2000" w:type="dxa"/>
            <w:shd w:val="clear" w:color="auto" w:fill="F4F9EB"/>
            <w:vAlign w:val="center"/>
          </w:tcPr>
          <w:p w14:paraId="30B1C4A6" w14:textId="77777777" w:rsidR="001C2647" w:rsidRDefault="00E76D97">
            <w:pPr>
              <w:numPr>
                <w:ilvl w:val="0"/>
                <w:numId w:val="2"/>
              </w:numPr>
              <w:ind w:left="240" w:hanging="300"/>
            </w:pPr>
            <w:r>
              <w:rPr>
                <w:rFonts w:ascii="Calibri" w:hAnsi="Calibri" w:cs="Calibri"/>
                <w:color w:val="0D381F"/>
                <w:shd w:val="clear" w:color="auto" w:fill="F4F9EB"/>
              </w:rPr>
              <w:t>Pollution prevention and control</w:t>
            </w:r>
          </w:p>
          <w:p w14:paraId="2ED1E00F" w14:textId="77777777" w:rsidR="001C2647" w:rsidRDefault="00E76D97">
            <w:pPr>
              <w:numPr>
                <w:ilvl w:val="0"/>
                <w:numId w:val="2"/>
              </w:numPr>
              <w:ind w:left="240" w:hanging="300"/>
            </w:pPr>
            <w:r>
              <w:rPr>
                <w:rFonts w:ascii="Calibri" w:hAnsi="Calibri" w:cs="Calibri"/>
                <w:color w:val="0D381F"/>
                <w:shd w:val="clear" w:color="auto" w:fill="F4F9EB"/>
              </w:rPr>
              <w:t>Natural resource conservation</w:t>
            </w:r>
          </w:p>
        </w:tc>
        <w:tc>
          <w:tcPr>
            <w:tcW w:w="1488" w:type="dxa"/>
            <w:shd w:val="clear" w:color="auto" w:fill="F4F9EB"/>
            <w:vAlign w:val="center"/>
          </w:tcPr>
          <w:p w14:paraId="448D6B6D" w14:textId="77777777" w:rsidR="001C2647" w:rsidRDefault="00E76D97">
            <w:pPr>
              <w:numPr>
                <w:ilvl w:val="0"/>
                <w:numId w:val="2"/>
              </w:numPr>
              <w:ind w:left="240" w:hanging="300"/>
            </w:pPr>
            <w:r>
              <w:rPr>
                <w:rFonts w:ascii="Calibri" w:hAnsi="Calibri" w:cs="Calibri"/>
                <w:color w:val="0D381F"/>
                <w:shd w:val="clear" w:color="auto" w:fill="F4F9EB"/>
              </w:rPr>
              <w:t>GBP2021</w:t>
            </w:r>
          </w:p>
          <w:p w14:paraId="005F157C" w14:textId="77777777" w:rsidR="001C2647" w:rsidRDefault="00E76D97">
            <w:pPr>
              <w:numPr>
                <w:ilvl w:val="0"/>
                <w:numId w:val="2"/>
              </w:numPr>
              <w:ind w:left="240" w:hanging="300"/>
            </w:pPr>
            <w:r>
              <w:rPr>
                <w:rFonts w:ascii="Calibri" w:hAnsi="Calibri" w:cs="Calibri"/>
                <w:color w:val="0D381F"/>
                <w:shd w:val="clear" w:color="auto" w:fill="F4F9EB"/>
              </w:rPr>
              <w:t>GLP2023</w:t>
            </w:r>
          </w:p>
          <w:p w14:paraId="5AC7E434" w14:textId="77777777" w:rsidR="001C2647" w:rsidRDefault="00E76D97">
            <w:pPr>
              <w:numPr>
                <w:ilvl w:val="0"/>
                <w:numId w:val="2"/>
              </w:numPr>
              <w:ind w:left="240" w:hanging="300"/>
            </w:pPr>
            <w:r>
              <w:rPr>
                <w:rFonts w:ascii="Calibri" w:hAnsi="Calibri" w:cs="Calibri"/>
                <w:color w:val="0D381F"/>
                <w:shd w:val="clear" w:color="auto" w:fill="F4F9EB"/>
              </w:rPr>
              <w:t>GBEPC2021 – 4.2.1.6</w:t>
            </w:r>
          </w:p>
        </w:tc>
      </w:tr>
    </w:tbl>
    <w:p w14:paraId="69458C6A" w14:textId="77777777" w:rsidR="00EC1A24" w:rsidRPr="00123850" w:rsidRDefault="00EC1A24" w:rsidP="00123850">
      <w:pPr>
        <w:jc w:val="both"/>
        <w:rPr>
          <w:rFonts w:ascii="Calibri" w:hAnsi="Calibri" w:cs="Calibri"/>
          <w:color w:val="7F7F7F" w:themeColor="text1" w:themeTint="80"/>
        </w:rPr>
      </w:pPr>
    </w:p>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77A5853B" w14:textId="77777777" w:rsidR="001C2647" w:rsidRDefault="00E76D97">
      <w:pPr>
        <w:numPr>
          <w:ilvl w:val="0"/>
          <w:numId w:val="2"/>
        </w:numPr>
        <w:spacing w:beforeLines="50" w:before="163" w:after="160"/>
        <w:ind w:left="720"/>
        <w:jc w:val="both"/>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ozone-depleting substances, polychlorinated biphenyls (PCBs), wildlife or products regulated under the Convention on International Trade in Endangered Species of Wild Fauna and Flora (CITES).</w:t>
      </w:r>
    </w:p>
    <w:p w14:paraId="23F523FE" w14:textId="77777777" w:rsidR="001C2647" w:rsidRDefault="00E76D97">
      <w:pPr>
        <w:numPr>
          <w:ilvl w:val="0"/>
          <w:numId w:val="2"/>
        </w:numPr>
        <w:spacing w:beforeLines="50" w:before="163" w:after="160"/>
        <w:ind w:left="720"/>
        <w:jc w:val="both"/>
      </w:pPr>
      <w:r>
        <w:rPr>
          <w:rFonts w:ascii="Calibri" w:hAnsi="Calibri" w:cs="Calibri"/>
        </w:rPr>
        <w:lastRenderedPageBreak/>
        <w:t>Production or trade in weapons and munitions.</w:t>
      </w:r>
    </w:p>
    <w:p w14:paraId="0E728EFC" w14:textId="77777777" w:rsidR="001C2647" w:rsidRDefault="00E76D97">
      <w:pPr>
        <w:numPr>
          <w:ilvl w:val="0"/>
          <w:numId w:val="2"/>
        </w:numPr>
        <w:spacing w:beforeLines="50" w:before="163" w:after="160"/>
        <w:ind w:left="720"/>
        <w:jc w:val="both"/>
      </w:pPr>
      <w:r>
        <w:rPr>
          <w:rFonts w:ascii="Calibri" w:hAnsi="Calibri" w:cs="Calibri"/>
        </w:rPr>
        <w:t>Production or trade in alcoholic beverages (excluding beer and wine).</w:t>
      </w:r>
    </w:p>
    <w:p w14:paraId="5BE40681" w14:textId="77777777" w:rsidR="001C2647" w:rsidRDefault="00E76D97">
      <w:pPr>
        <w:numPr>
          <w:ilvl w:val="0"/>
          <w:numId w:val="2"/>
        </w:numPr>
        <w:spacing w:beforeLines="50" w:before="163" w:after="160"/>
        <w:ind w:left="720"/>
        <w:jc w:val="both"/>
      </w:pPr>
      <w:r>
        <w:rPr>
          <w:rFonts w:ascii="Calibri" w:hAnsi="Calibri" w:cs="Calibri"/>
        </w:rPr>
        <w:t>Production or trade in tobacco.</w:t>
      </w:r>
    </w:p>
    <w:p w14:paraId="55DA5C1A" w14:textId="77777777" w:rsidR="001C2647" w:rsidRDefault="00E76D97">
      <w:pPr>
        <w:numPr>
          <w:ilvl w:val="0"/>
          <w:numId w:val="2"/>
        </w:numPr>
        <w:spacing w:beforeLines="50" w:before="163" w:after="160"/>
        <w:ind w:left="720"/>
        <w:jc w:val="both"/>
      </w:pPr>
      <w:r>
        <w:rPr>
          <w:rFonts w:ascii="Calibri" w:hAnsi="Calibri" w:cs="Calibri"/>
        </w:rPr>
        <w:t>Gambling, casinos, and equivalent enterprises.</w:t>
      </w:r>
    </w:p>
    <w:p w14:paraId="350C3819" w14:textId="77777777" w:rsidR="001C2647" w:rsidRDefault="00E76D97">
      <w:pPr>
        <w:numPr>
          <w:ilvl w:val="0"/>
          <w:numId w:val="2"/>
        </w:numPr>
        <w:spacing w:beforeLines="50" w:before="163" w:after="160"/>
        <w:ind w:left="720"/>
        <w:jc w:val="both"/>
      </w:pPr>
      <w:r>
        <w:rPr>
          <w:rFonts w:ascii="Calibri" w:hAnsi="Calibri" w:cs="Calibri"/>
        </w:rPr>
        <w:t>Production or trade in radioactive materials. This does not apply to the purchase of medical equipment, quality control (measurement) equipment and any equipment where any international financial company considers the radioactive source to be trivial and/or adequately shielded.</w:t>
      </w:r>
    </w:p>
    <w:p w14:paraId="30D0EB14" w14:textId="77777777" w:rsidR="001C2647" w:rsidRDefault="00E76D97">
      <w:pPr>
        <w:numPr>
          <w:ilvl w:val="0"/>
          <w:numId w:val="2"/>
        </w:numPr>
        <w:spacing w:beforeLines="50" w:before="163" w:after="160"/>
        <w:ind w:left="720"/>
        <w:jc w:val="both"/>
      </w:pPr>
      <w:r>
        <w:rPr>
          <w:rFonts w:ascii="Calibri" w:hAnsi="Calibri" w:cs="Calibri"/>
        </w:rPr>
        <w:t>Production or trade in unbonded asbestos fibres. This does not apply to the purchase and use of bonded asbestos cement sheeting where the asbestos content is less than 20 percent.</w:t>
      </w:r>
    </w:p>
    <w:p w14:paraId="59D7297E" w14:textId="77777777" w:rsidR="001C2647" w:rsidRDefault="00E76D97">
      <w:pPr>
        <w:numPr>
          <w:ilvl w:val="0"/>
          <w:numId w:val="2"/>
        </w:numPr>
        <w:spacing w:beforeLines="50" w:before="163" w:after="160"/>
        <w:ind w:left="720"/>
        <w:jc w:val="both"/>
      </w:pPr>
      <w:r>
        <w:rPr>
          <w:rFonts w:ascii="Calibri" w:hAnsi="Calibri" w:cs="Calibri"/>
        </w:rPr>
        <w:t>Drift net fishing in the marine environment using nets over 2.5 kilometres in length.</w:t>
      </w:r>
    </w:p>
    <w:p w14:paraId="2E5FAEB3" w14:textId="77777777" w:rsidR="001C2647" w:rsidRDefault="00E76D97">
      <w:pPr>
        <w:numPr>
          <w:ilvl w:val="0"/>
          <w:numId w:val="2"/>
        </w:numPr>
        <w:spacing w:beforeLines="50" w:before="163" w:after="160"/>
        <w:ind w:left="720"/>
        <w:jc w:val="both"/>
      </w:pPr>
      <w:r>
        <w:rPr>
          <w:rFonts w:ascii="Calibri" w:hAnsi="Calibri" w:cs="Calibri"/>
        </w:rPr>
        <w:t>Production or activities involving harmful or exploitative forms of forced labour/harmful child labour.</w:t>
      </w:r>
    </w:p>
    <w:p w14:paraId="27BDE065" w14:textId="77777777" w:rsidR="001C2647" w:rsidRDefault="00E76D97">
      <w:pPr>
        <w:numPr>
          <w:ilvl w:val="0"/>
          <w:numId w:val="2"/>
        </w:numPr>
        <w:spacing w:beforeLines="50" w:before="163" w:after="160"/>
        <w:ind w:left="720"/>
        <w:jc w:val="both"/>
      </w:pPr>
      <w:r>
        <w:rPr>
          <w:rFonts w:ascii="Calibri" w:hAnsi="Calibri" w:cs="Calibri"/>
        </w:rPr>
        <w:t>Commercial logging operations for use in primary tropical forest.</w:t>
      </w:r>
    </w:p>
    <w:p w14:paraId="3A565497" w14:textId="77777777" w:rsidR="001C2647" w:rsidRDefault="00E76D97">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forests.</w:t>
      </w:r>
    </w:p>
    <w:p w14:paraId="1CF7ECCA" w14:textId="77777777" w:rsidR="001C2647" w:rsidRDefault="00E76D97">
      <w:pPr>
        <w:numPr>
          <w:ilvl w:val="0"/>
          <w:numId w:val="2"/>
        </w:numPr>
        <w:spacing w:beforeLines="50" w:before="163" w:after="160"/>
        <w:ind w:left="720"/>
        <w:jc w:val="both"/>
      </w:pPr>
      <w:r>
        <w:rPr>
          <w:rFonts w:ascii="Calibri" w:hAnsi="Calibri" w:cs="Calibri"/>
        </w:rPr>
        <w:t>Projects related to fossil fuel.</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0473D2">
        <w:trPr>
          <w:trHeight w:val="2117"/>
        </w:trPr>
        <w:tc>
          <w:tcPr>
            <w:tcW w:w="10514" w:type="dxa"/>
            <w:tcBorders>
              <w:top w:val="nil"/>
              <w:left w:val="nil"/>
              <w:bottom w:val="nil"/>
              <w:right w:val="nil"/>
            </w:tcBorders>
            <w:shd w:val="clear" w:color="auto" w:fill="F4F9EB"/>
            <w:vAlign w:val="center"/>
          </w:tcPr>
          <w:p w14:paraId="620DD4EF" w14:textId="77777777" w:rsidR="001C2647" w:rsidRDefault="00E76D97">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47AEC31E" w14:textId="77777777" w:rsidR="001C2647" w:rsidRDefault="00E76D97">
            <w:pPr>
              <w:numPr>
                <w:ilvl w:val="0"/>
                <w:numId w:val="2"/>
              </w:numPr>
              <w:jc w:val="both"/>
            </w:pPr>
            <w:r>
              <w:rPr>
                <w:rFonts w:ascii="Calibri" w:hAnsi="Calibri" w:cs="Calibri"/>
                <w:color w:val="0D381F"/>
              </w:rPr>
              <w:t>The Group has built a well-established control structure with different business departments and set up a reasonable process for project evaluation and selection.</w:t>
            </w:r>
          </w:p>
          <w:p w14:paraId="16803E20" w14:textId="77777777" w:rsidR="001C2647" w:rsidRDefault="00E76D97">
            <w:pPr>
              <w:numPr>
                <w:ilvl w:val="0"/>
                <w:numId w:val="2"/>
              </w:numPr>
              <w:jc w:val="both"/>
            </w:pPr>
            <w:r>
              <w:rPr>
                <w:rFonts w:ascii="Calibri" w:hAnsi="Calibri" w:cs="Calibri"/>
                <w:color w:val="0D381F"/>
              </w:rPr>
              <w:t>CCXGFI is of the opinion that the process is formalised and reasonably structured, transparent, relevant and aligned with this component of the GBP2021 (with June 2022 Appendix I) and GLP2023.</w:t>
            </w:r>
          </w:p>
        </w:tc>
      </w:tr>
    </w:tbl>
    <w:p w14:paraId="50DC1E80" w14:textId="77777777" w:rsidR="001C2647" w:rsidRDefault="00E76D97">
      <w:pPr>
        <w:spacing w:beforeLines="50" w:before="163" w:after="160"/>
        <w:jc w:val="both"/>
      </w:pPr>
      <w:r>
        <w:rPr>
          <w:rFonts w:ascii="Calibri" w:hAnsi="Calibri" w:cs="Calibri"/>
        </w:rPr>
        <w:t>The Team of the Group consists of senior management members from various functions, including Engineering Department, Strategic Development Department and Financial Audit Department.</w:t>
      </w:r>
    </w:p>
    <w:p w14:paraId="278AFC47" w14:textId="77777777" w:rsidR="001C2647" w:rsidRDefault="00E76D97">
      <w:pPr>
        <w:spacing w:beforeLines="50" w:before="163" w:after="160"/>
        <w:jc w:val="both"/>
      </w:pPr>
      <w:r>
        <w:rPr>
          <w:rFonts w:ascii="Calibri" w:hAnsi="Calibri" w:cs="Calibri"/>
        </w:rPr>
        <w:t>The Team holds meetings annually to discuss and select Eligible Green Projects (“EGPs”) according to the Eligibility Criteria. The Team is responsible for evaluating project compliance, approving projects for the Eligible Projects List, and monitoring and managing this list. Additionally, they ensure alignment with the Framework and relevant laws, and assess projects for environmental and social risks.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19FCF93A" w14:textId="77777777" w:rsidR="001C2647" w:rsidRDefault="00E76D97">
      <w:pPr>
        <w:numPr>
          <w:ilvl w:val="0"/>
          <w:numId w:val="20"/>
        </w:numPr>
        <w:spacing w:beforeLines="50" w:before="163" w:after="160"/>
        <w:ind w:left="720"/>
        <w:jc w:val="both"/>
      </w:pPr>
      <w:r>
        <w:rPr>
          <w:rFonts w:ascii="Calibri" w:hAnsi="Calibri" w:cs="Calibri"/>
        </w:rPr>
        <w:t>Evaluating the compliance of projects with the Eligibility Criteria outlined in the Use of Proceeds under the Framework;</w:t>
      </w:r>
    </w:p>
    <w:p w14:paraId="18F1D9D9" w14:textId="77777777" w:rsidR="001C2647" w:rsidRDefault="00E76D97">
      <w:pPr>
        <w:numPr>
          <w:ilvl w:val="0"/>
          <w:numId w:val="20"/>
        </w:numPr>
        <w:spacing w:beforeLines="50" w:before="163" w:after="160"/>
        <w:ind w:left="720"/>
        <w:jc w:val="both"/>
      </w:pPr>
      <w:r>
        <w:rPr>
          <w:rFonts w:ascii="Calibri" w:hAnsi="Calibri" w:cs="Calibri"/>
        </w:rPr>
        <w:t>Approving the inclusion of preselected Eligible Projects in Eligible Projects List (the Team has full discretion to object the inclusion of any project);</w:t>
      </w:r>
    </w:p>
    <w:p w14:paraId="113F2104" w14:textId="77777777" w:rsidR="001C2647" w:rsidRDefault="00E76D97">
      <w:pPr>
        <w:numPr>
          <w:ilvl w:val="0"/>
          <w:numId w:val="20"/>
        </w:numPr>
        <w:spacing w:beforeLines="50" w:before="163" w:after="160"/>
        <w:ind w:left="720"/>
        <w:jc w:val="both"/>
      </w:pPr>
      <w:r>
        <w:rPr>
          <w:rFonts w:ascii="Calibri" w:hAnsi="Calibri" w:cs="Calibri"/>
        </w:rPr>
        <w:t>Monitoring and managing the Eligible Projects List. The Group will maintain a register to keep track the use of net proceeds of the GFTs through the internal information system on an annual basis;</w:t>
      </w:r>
    </w:p>
    <w:p w14:paraId="3DE25F5C" w14:textId="77777777" w:rsidR="001C2647" w:rsidRDefault="00E76D97">
      <w:pPr>
        <w:numPr>
          <w:ilvl w:val="0"/>
          <w:numId w:val="20"/>
        </w:numPr>
        <w:spacing w:beforeLines="50" w:before="163" w:after="160"/>
        <w:ind w:left="720"/>
        <w:jc w:val="both"/>
      </w:pPr>
      <w:r>
        <w:rPr>
          <w:rFonts w:ascii="Calibri" w:hAnsi="Calibri" w:cs="Calibri"/>
        </w:rPr>
        <w:lastRenderedPageBreak/>
        <w:t>Replacing projects that no longer meet the Eligible Criteria or due to any divestments;</w:t>
      </w:r>
    </w:p>
    <w:p w14:paraId="30711C26" w14:textId="77777777" w:rsidR="001C2647" w:rsidRDefault="00E76D97">
      <w:pPr>
        <w:numPr>
          <w:ilvl w:val="0"/>
          <w:numId w:val="20"/>
        </w:numPr>
        <w:spacing w:beforeLines="50" w:before="163" w:after="160"/>
        <w:ind w:left="720"/>
        <w:jc w:val="both"/>
      </w:pPr>
      <w:r>
        <w:rPr>
          <w:rFonts w:ascii="Calibri" w:hAnsi="Calibri" w:cs="Calibri"/>
        </w:rPr>
        <w:t>Observing the development of Green Financing market and approving updates to this Framework accordingly to reflect relevant changes in our corporate strategy or market development.</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015F2073" w14:textId="77777777" w:rsidR="001C2647" w:rsidRDefault="00E76D97">
            <w:pPr>
              <w:numPr>
                <w:ilvl w:val="0"/>
                <w:numId w:val="2"/>
              </w:numPr>
              <w:jc w:val="both"/>
            </w:pPr>
            <w:r>
              <w:rPr>
                <w:rFonts w:ascii="Calibri" w:hAnsi="Calibri" w:cs="Calibri"/>
                <w:color w:val="0D381F"/>
              </w:rPr>
              <w:t>CCXGFI has reviewed the Group’s Green Finance Framework and the Group’s policies on management of proceeds.</w:t>
            </w:r>
          </w:p>
          <w:p w14:paraId="396C8058" w14:textId="77777777" w:rsidR="001C2647" w:rsidRDefault="00E76D97">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and GLP2023.</w:t>
            </w:r>
          </w:p>
          <w:p w14:paraId="12847C06" w14:textId="77777777" w:rsidR="001C2647" w:rsidRDefault="00E76D97">
            <w:pPr>
              <w:numPr>
                <w:ilvl w:val="0"/>
                <w:numId w:val="2"/>
              </w:numPr>
              <w:jc w:val="both"/>
            </w:pPr>
            <w:r>
              <w:rPr>
                <w:rFonts w:ascii="Calibri" w:hAnsi="Calibri" w:cs="Calibri"/>
                <w:color w:val="0D381F"/>
              </w:rPr>
              <w:t>It is recommended that if applicable, the Group could establish a special account instead of depositing proceeds in the general funding accounts and consider engaging external agencies to oversee the management of these funds, thereby showing a stronger signal about the Group’s commitment to sustainability.</w:t>
            </w:r>
          </w:p>
        </w:tc>
      </w:tr>
    </w:tbl>
    <w:p w14:paraId="50A1D072" w14:textId="0C0B762C"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rPr>
        <w:t>The proceeds of each of the Group’s GFT can be managed through</w:t>
      </w:r>
      <w:r w:rsidR="00454D87">
        <w:rPr>
          <w:rFonts w:ascii="Calibri" w:hAnsi="Calibri" w:cs="Calibri"/>
        </w:rPr>
        <w:t xml:space="preserve"> </w:t>
      </w:r>
      <w:r>
        <w:rPr>
          <w:rFonts w:ascii="Calibri" w:hAnsi="Calibri" w:cs="Calibri"/>
        </w:rPr>
        <w:t>keeping a GFT Register. Under the GFT Register method, the proceeds will be deposited in the general funding accounts and earmarked for allocation towards the Eligible Green Projects.</w:t>
      </w:r>
    </w:p>
    <w:p w14:paraId="5B96D796" w14:textId="35EC4119"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b/>
        </w:rPr>
        <w:t xml:space="preserve">The use of proceeds will be maintained in a Green Finance Register, containing </w:t>
      </w:r>
      <w:r w:rsidR="00433F04">
        <w:rPr>
          <w:rFonts w:ascii="Calibri" w:hAnsi="Calibri" w:cs="Calibri" w:hint="eastAsia"/>
          <w:b/>
        </w:rPr>
        <w:t>the</w:t>
      </w:r>
      <w:r w:rsidR="00433F04">
        <w:rPr>
          <w:rFonts w:ascii="Calibri" w:hAnsi="Calibri" w:cs="Calibri"/>
          <w:b/>
        </w:rPr>
        <w:t xml:space="preserve"> </w:t>
      </w:r>
      <w:r>
        <w:rPr>
          <w:rFonts w:ascii="Calibri" w:hAnsi="Calibri" w:cs="Calibri"/>
          <w:b/>
        </w:rPr>
        <w:t>following information:</w:t>
      </w:r>
    </w:p>
    <w:p w14:paraId="7F96BF21" w14:textId="77777777" w:rsidR="001C2647" w:rsidRDefault="00E76D97">
      <w:pPr>
        <w:numPr>
          <w:ilvl w:val="0"/>
          <w:numId w:val="2"/>
        </w:numPr>
        <w:spacing w:beforeLines="50" w:before="163" w:after="160"/>
        <w:ind w:left="820"/>
      </w:pPr>
      <w:r>
        <w:rPr>
          <w:rFonts w:ascii="Calibri" w:hAnsi="Calibri" w:cs="Calibri"/>
        </w:rPr>
        <w:t>Type of Funding Transaction</w:t>
      </w:r>
    </w:p>
    <w:p w14:paraId="552F43BB" w14:textId="77777777" w:rsidR="001C2647" w:rsidRDefault="00E76D97">
      <w:pPr>
        <w:numPr>
          <w:ilvl w:val="0"/>
          <w:numId w:val="2"/>
        </w:numPr>
        <w:spacing w:beforeLines="50" w:before="163" w:after="160"/>
        <w:ind w:left="820"/>
      </w:pPr>
      <w:r>
        <w:rPr>
          <w:rFonts w:ascii="Calibri" w:hAnsi="Calibri" w:cs="Calibri"/>
        </w:rPr>
        <w:t>Key information includes issuer/borrower entity, transaction date, the principal amount of proceeds, repayment or amortization profile, maturity date; interest or coupon, the ISIN number etc.</w:t>
      </w:r>
    </w:p>
    <w:p w14:paraId="114648C2" w14:textId="77777777" w:rsidR="001C2647" w:rsidRDefault="00E76D97">
      <w:pPr>
        <w:numPr>
          <w:ilvl w:val="0"/>
          <w:numId w:val="2"/>
        </w:numPr>
        <w:spacing w:beforeLines="50" w:before="163" w:after="160"/>
        <w:ind w:left="820"/>
      </w:pPr>
      <w:r>
        <w:rPr>
          <w:rFonts w:ascii="Calibri" w:hAnsi="Calibri" w:cs="Calibri"/>
        </w:rPr>
        <w:t>Allocation of Use of Proceeds</w:t>
      </w:r>
    </w:p>
    <w:p w14:paraId="5061FC90" w14:textId="77777777" w:rsidR="001C2647" w:rsidRDefault="00E76D97">
      <w:pPr>
        <w:numPr>
          <w:ilvl w:val="0"/>
          <w:numId w:val="2"/>
        </w:numPr>
        <w:spacing w:beforeLines="50" w:before="163" w:after="160"/>
        <w:ind w:left="820"/>
      </w:pPr>
      <w:r>
        <w:rPr>
          <w:rFonts w:ascii="Calibri" w:hAnsi="Calibri" w:cs="Calibri"/>
        </w:rPr>
        <w:t>Name and description of the Eligible Projects to which the proceeds of the GFT have been allocated in accordance with the Framework</w:t>
      </w:r>
    </w:p>
    <w:p w14:paraId="5A230218" w14:textId="77777777" w:rsidR="001C2647" w:rsidRDefault="00E76D97">
      <w:pPr>
        <w:numPr>
          <w:ilvl w:val="0"/>
          <w:numId w:val="2"/>
        </w:numPr>
        <w:spacing w:beforeLines="50" w:before="163" w:after="160"/>
        <w:ind w:left="820"/>
      </w:pPr>
      <w:r>
        <w:rPr>
          <w:rFonts w:ascii="Calibri" w:hAnsi="Calibri" w:cs="Calibri"/>
        </w:rPr>
        <w:t>Amount and date of the GFT proceeds allocated to each eligible project</w:t>
      </w:r>
    </w:p>
    <w:p w14:paraId="0C142E22" w14:textId="77777777" w:rsidR="001C2647" w:rsidRDefault="00E76D97">
      <w:pPr>
        <w:numPr>
          <w:ilvl w:val="0"/>
          <w:numId w:val="2"/>
        </w:numPr>
        <w:spacing w:beforeLines="50" w:before="163" w:after="160"/>
        <w:ind w:left="820"/>
      </w:pPr>
      <w:r>
        <w:rPr>
          <w:rFonts w:ascii="Calibri" w:hAnsi="Calibri" w:cs="Calibri"/>
        </w:rPr>
        <w:t>The remaining balance of unallocated proceeds is yet to be earmarked for the Eligible Projects</w:t>
      </w:r>
    </w:p>
    <w:p w14:paraId="7D3A98E7" w14:textId="77777777" w:rsidR="001C2647" w:rsidRDefault="00E76D97">
      <w:pPr>
        <w:numPr>
          <w:ilvl w:val="0"/>
          <w:numId w:val="2"/>
        </w:numPr>
        <w:spacing w:beforeLines="50" w:before="163" w:after="160"/>
        <w:ind w:left="820"/>
      </w:pPr>
      <w:r>
        <w:rPr>
          <w:rFonts w:ascii="Calibri" w:hAnsi="Calibri" w:cs="Calibri"/>
        </w:rPr>
        <w:t>Other relevant information such as information in relation to temporary investment for unallocated proceeds (the investment amount and investment type)</w:t>
      </w:r>
    </w:p>
    <w:p w14:paraId="4C08CBDB" w14:textId="77777777" w:rsidR="001C2647" w:rsidRDefault="00E76D97">
      <w:pPr>
        <w:spacing w:beforeLines="50" w:before="163" w:after="160"/>
        <w:jc w:val="both"/>
      </w:pPr>
      <w:r>
        <w:rPr>
          <w:rFonts w:ascii="Calibri" w:hAnsi="Calibri" w:cs="Calibri"/>
        </w:rPr>
        <w:t>The Group can deposit the unallocated held in temporary investment instruments that are assets with high liquidity and safety such as cash or cash equivalent instruments, or held in temporary placements that do not include projects, assets or activities that are inconsistent with the nature of green and/or social debt instruments according to the relevant rules and regulations set out by the competent authorities.</w:t>
      </w:r>
    </w:p>
    <w:p w14:paraId="088166CE" w14:textId="77777777" w:rsidR="001C2647" w:rsidRDefault="00E76D97">
      <w:pPr>
        <w:spacing w:beforeLines="50" w:before="163" w:after="160"/>
        <w:jc w:val="both"/>
      </w:pPr>
      <w:r>
        <w:rPr>
          <w:rFonts w:ascii="Calibri" w:hAnsi="Calibri" w:cs="Calibri"/>
        </w:rPr>
        <w:t>During the life of the GFTs issued, if the designated projects cease to fulfil the eligibility criteria,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D07910">
        <w:trPr>
          <w:trHeight w:val="2381"/>
        </w:trPr>
        <w:tc>
          <w:tcPr>
            <w:tcW w:w="10514" w:type="dxa"/>
            <w:tcBorders>
              <w:top w:val="nil"/>
              <w:left w:val="nil"/>
              <w:bottom w:val="nil"/>
              <w:right w:val="nil"/>
            </w:tcBorders>
            <w:shd w:val="clear" w:color="auto" w:fill="F4F9EB"/>
            <w:vAlign w:val="center"/>
          </w:tcPr>
          <w:p w14:paraId="6B75D1FF" w14:textId="77777777" w:rsidR="001C2647" w:rsidRDefault="00E76D97">
            <w:pPr>
              <w:numPr>
                <w:ilvl w:val="0"/>
                <w:numId w:val="2"/>
              </w:numPr>
              <w:jc w:val="both"/>
            </w:pPr>
            <w:r>
              <w:rPr>
                <w:rFonts w:ascii="Calibri" w:hAnsi="Calibri" w:cs="Calibri"/>
                <w:color w:val="0D381F"/>
              </w:rPr>
              <w:t>CCXGFI has reviewed the Group’s Framework and examined the reporting mechanism.</w:t>
            </w:r>
          </w:p>
          <w:p w14:paraId="220624BE" w14:textId="77777777" w:rsidR="001C2647" w:rsidRDefault="00E76D97">
            <w:pPr>
              <w:numPr>
                <w:ilvl w:val="0"/>
                <w:numId w:val="2"/>
              </w:numPr>
              <w:jc w:val="both"/>
            </w:pPr>
            <w:r>
              <w:rPr>
                <w:rFonts w:ascii="Calibri" w:hAnsi="Calibri" w:cs="Calibri"/>
                <w:color w:val="0D381F"/>
              </w:rPr>
              <w:t>The Group is committed to reporting the allocation of net proceeds annually until they are fully allocated and disclosing the impact of financed projects through quantitative indicators defined by ICMA’s handbook where possible.</w:t>
            </w:r>
          </w:p>
          <w:p w14:paraId="60BC3F4C" w14:textId="77777777" w:rsidR="001C2647" w:rsidRDefault="00E76D97">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green projects annually with updates continuing until full allocation of the net proceeds of any GFT issued. The impact report associated with the Eligible Projects will be disclosed on a best effort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30D5423E" w14:textId="77777777" w:rsidR="001C2647" w:rsidRDefault="00E76D97">
      <w:pPr>
        <w:numPr>
          <w:ilvl w:val="0"/>
          <w:numId w:val="2"/>
        </w:numPr>
        <w:spacing w:beforeLines="50" w:before="163" w:after="160"/>
        <w:ind w:left="820"/>
      </w:pPr>
      <w:r>
        <w:rPr>
          <w:rFonts w:ascii="Calibri" w:hAnsi="Calibri" w:cs="Calibri"/>
        </w:rPr>
        <w:t>Amount of allocated proceed by Eligible Categories, with a brief description of green projects</w:t>
      </w:r>
    </w:p>
    <w:p w14:paraId="005B1321" w14:textId="77777777" w:rsidR="001C2647" w:rsidRDefault="00E76D97">
      <w:pPr>
        <w:numPr>
          <w:ilvl w:val="0"/>
          <w:numId w:val="2"/>
        </w:numPr>
        <w:spacing w:beforeLines="50" w:before="163" w:after="160"/>
        <w:ind w:left="820"/>
      </w:pPr>
      <w:r>
        <w:rPr>
          <w:rFonts w:ascii="Calibri" w:hAnsi="Calibri" w:cs="Calibri"/>
        </w:rPr>
        <w:t>The remaining balance of funds which have not yet been allocated</w:t>
      </w:r>
    </w:p>
    <w:p w14:paraId="40F97ADB" w14:textId="77777777" w:rsidR="001C2647" w:rsidRDefault="00E76D97">
      <w:pPr>
        <w:numPr>
          <w:ilvl w:val="0"/>
          <w:numId w:val="2"/>
        </w:numPr>
        <w:spacing w:beforeLines="50" w:before="163" w:after="160"/>
        <w:ind w:left="820"/>
      </w:pPr>
      <w:r>
        <w:rPr>
          <w:rFonts w:ascii="Calibri" w:hAnsi="Calibri" w:cs="Calibri"/>
        </w:rPr>
        <w:t>Share of financing vs. refinancing</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3DEB014C" w14:textId="77777777" w:rsidR="001C2647" w:rsidRDefault="00E76D97">
      <w:pPr>
        <w:spacing w:beforeLines="50" w:before="163" w:after="160"/>
        <w:jc w:val="both"/>
      </w:pPr>
      <w:r>
        <w:rPr>
          <w:rFonts w:ascii="Calibri" w:hAnsi="Calibri" w:cs="Calibri"/>
        </w:rPr>
        <w:t xml:space="preserve">Nanyang City, located in Henan Province of China, serves as a crucial transportation hub at the intersection of Henan, Hubei, and Shaanxi, thereby playing a strategic role in regional economic integration and development. The city’s economic landscape is complemented by the Group, a state-owned enterprise engaged in diverse sectors including sewage treatment and real estate. China’s 14th Five-Year Plan for Ecological Protection and Supervision underscores the importance of sustainable water stewardship and ecosystem rehabilitation. In this context, The Group is dedicated to sustainability by focusing on eligible green projects, such as </w:t>
      </w:r>
      <w:r>
        <w:rPr>
          <w:rFonts w:ascii="Calibri" w:hAnsi="Calibri"/>
          <w:color w:val="FF0000"/>
        </w:rPr>
        <w:t>[12-1]</w:t>
      </w:r>
      <w:r>
        <w:rPr>
          <w:rFonts w:ascii="Calibri" w:hAnsi="Calibri"/>
        </w:rPr>
        <w:t>sustainable water and wastewater management, reflecting its commitment to ecological restoration and biodiversity conservation. The Group’s Framework is designed to support projects that deliver environmental benefits and promote sustainable growth, and complies with international principles outlined by the Green Bond Principles 2021 and the Green Loan Principles 2023, wihile maintaining strict alignment with China’s national ecological civilization directives. This strategy resonates strongly with local and national environmental policies, reinforcing the Group’s role in advancing regional sustainability objectives.</w:t>
      </w:r>
    </w:p>
    <w:p w14:paraId="7B9D8B62" w14:textId="675E5BDA" w:rsidR="001C2647" w:rsidRDefault="00E76D97">
      <w:pPr>
        <w:spacing w:beforeLines="50" w:before="163" w:after="160"/>
        <w:jc w:val="both"/>
      </w:pPr>
      <w:r>
        <w:rPr>
          <w:rFonts w:ascii="Calibri" w:hAnsi="Calibri" w:cs="Calibri"/>
        </w:rPr>
        <w:t xml:space="preserve">The Group defines Sustainable Water and Wastewater Management as eligible green project categories.Furthermore, the GFTs issued under the Green Finance Framework contribute to the 1 SDGs, systematically advancing the Group. In particular, the eligible projects are closely related to the </w:t>
      </w:r>
      <w:r w:rsidR="00A524F5">
        <w:rPr>
          <w:rFonts w:ascii="Calibri" w:hAnsi="Calibri" w:cs="Calibri"/>
        </w:rPr>
        <w:t>Group</w:t>
      </w:r>
      <w:r>
        <w:rPr>
          <w:rFonts w:ascii="Calibri" w:hAnsi="Calibri" w:cs="Calibri"/>
        </w:rPr>
        <w:t>’s major business activities, and at the same time, the Group’s current development provides overall guidance for the establishment of the Framework. Hence, the outlined Framework is expected to be consistent with</w:t>
      </w:r>
      <w:r w:rsidR="004106B1">
        <w:rPr>
          <w:rFonts w:ascii="Calibri" w:hAnsi="Calibri" w:cs="Calibri"/>
        </w:rPr>
        <w:t xml:space="preserve"> </w:t>
      </w:r>
      <w:r w:rsidR="004106B1">
        <w:rPr>
          <w:rFonts w:ascii="Calibri" w:hAnsi="Calibri" w:cs="Calibri" w:hint="eastAsia"/>
        </w:rPr>
        <w:t>the</w:t>
      </w:r>
      <w:r>
        <w:rPr>
          <w:rFonts w:ascii="Calibri" w:hAnsi="Calibri" w:cs="Calibri"/>
        </w:rPr>
        <w:t xml:space="preserve">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1C2647" w14:paraId="7ACBFEF5" w14:textId="77777777">
        <w:tc>
          <w:tcPr>
            <w:tcW w:w="8500" w:type="dxa"/>
            <w:shd w:val="clear" w:color="auto" w:fill="316729"/>
          </w:tcPr>
          <w:p w14:paraId="65F93971" w14:textId="77777777" w:rsidR="001C2647" w:rsidRDefault="00E76D97">
            <w:r>
              <w:rPr>
                <w:rFonts w:ascii="Calibri" w:hAnsi="Calibri" w:cs="Calibri"/>
                <w:b/>
                <w:color w:val="FFFFFF"/>
                <w:sz w:val="30"/>
                <w:szCs w:val="30"/>
              </w:rPr>
              <w:t>Sustainable Water and Wastewater Management</w:t>
            </w:r>
          </w:p>
        </w:tc>
        <w:tc>
          <w:tcPr>
            <w:tcW w:w="2000" w:type="dxa"/>
            <w:shd w:val="clear" w:color="auto" w:fill="316729"/>
          </w:tcPr>
          <w:p w14:paraId="251D9438" w14:textId="77777777" w:rsidR="001C2647" w:rsidRDefault="001C2647"/>
        </w:tc>
      </w:tr>
      <w:tr w:rsidR="001C2647" w14:paraId="5F614FC4" w14:textId="77777777">
        <w:tc>
          <w:tcPr>
            <w:tcW w:w="360" w:type="dxa"/>
            <w:shd w:val="clear" w:color="auto" w:fill="F4F9EB"/>
          </w:tcPr>
          <w:p w14:paraId="7F00FC4E" w14:textId="77777777" w:rsidR="001C2647" w:rsidRDefault="00E76D97">
            <w:pPr>
              <w:numPr>
                <w:ilvl w:val="0"/>
                <w:numId w:val="2"/>
              </w:numPr>
              <w:jc w:val="both"/>
            </w:pPr>
            <w:r>
              <w:rPr>
                <w:rFonts w:ascii="Calibri" w:hAnsi="Calibri" w:cs="Calibri"/>
                <w:color w:val="0D381F"/>
                <w:shd w:val="clear" w:color="auto" w:fill="F4F9EB"/>
              </w:rPr>
              <w:t>The Sustainable Water and Wastewater Management projects are aligned with China’s broader environmental strategies as outlined in the 14th Five-Year Plan, which emphasizes the enhancement of ecological protection, including strengthening watershed ecosystem management and the establishment of a comprehensive supervision system for environmental conservation. Henan Province’s ecological development plan further prioritizes integrated watershed governance and pollution control in key river basins, aligning with sustainable water management initiatives. Locally, Nanyang City’s strategies mandate ecological restoration of core areas, such as the Bai River Basin, which directly correlates with the objectives of enhancing water quality and ecological integrity through coordinated efforts in wetland conservation and river dredging. This demonstrates a clear synergy between the Group’s projects and both national and regional environmental policies.</w:t>
            </w:r>
          </w:p>
          <w:p w14:paraId="63DC2D8D" w14:textId="77777777" w:rsidR="001C2647" w:rsidRDefault="00E76D97">
            <w:pPr>
              <w:numPr>
                <w:ilvl w:val="0"/>
                <w:numId w:val="2"/>
              </w:numPr>
              <w:jc w:val="both"/>
            </w:pPr>
            <w:r>
              <w:rPr>
                <w:rFonts w:ascii="Calibri" w:hAnsi="Calibri" w:cs="Calibri"/>
                <w:color w:val="0D381F"/>
                <w:shd w:val="clear" w:color="auto" w:fill="F4F9EB"/>
              </w:rPr>
              <w:t>The Sustainable Water and Wastewater Management projects are anticipated to deliver significant ecological and social benefits. By implementing measures on watershed and marine water environment management and protection and restoration of rivers, lakes, and wetlands , the projects aim to improve water quality and restore aquatic ecosystems. These initiatives are expected to enhance biodiversity, increase resilience to climate change, and promote sustainable water usage, directly supporting the UN Sustainable Development Goal of Clean Water and Sanitation . The projects also align with national priorities for pollution reduction and ecological restoration, thereby contributing to broader environmental goals. Additionally, the projects are likely to improve local public health and community well-being by ensuring cleaner water sources and reducing pollution-related health risks.</w:t>
            </w:r>
          </w:p>
          <w:p w14:paraId="10CC65BF" w14:textId="77777777" w:rsidR="001C2647" w:rsidRDefault="00E76D97">
            <w:pPr>
              <w:numPr>
                <w:ilvl w:val="0"/>
                <w:numId w:val="2"/>
              </w:numPr>
              <w:jc w:val="both"/>
            </w:pPr>
            <w:r>
              <w:rPr>
                <w:rFonts w:ascii="Calibri" w:hAnsi="Calibri" w:cs="Calibri"/>
                <w:color w:val="0D381F"/>
                <w:shd w:val="clear" w:color="auto" w:fill="F4F9EB"/>
              </w:rPr>
              <w:t>The feasibility of the Sustainable Water and Wastewater Management projects in achieving the Group’s environmental and social goals is supported by their alignment with established ecological policies and integration into the Green Finance Framework. This Framework ensures that the projects are not only environmentally beneficial but also financially sustainable, supported by green bonds and loans aligned with international principles. The comprehensive approach to project evaluation, selection, and reporting guarantees transparency and accountability,  thereby strengthening stakeholder confidence in outcomes. Furthermore, these projects prioritize sustainable practices and measurable environmental impacts, positioning them as viable long-term solutions to uphold ecological integrity and social well-being while addressing current and future water resource management challenges.</w:t>
            </w:r>
          </w:p>
        </w:tc>
        <w:tc>
          <w:tcPr>
            <w:tcW w:w="360" w:type="dxa"/>
            <w:shd w:val="clear" w:color="auto" w:fill="F4F9EB"/>
          </w:tcPr>
          <w:p w14:paraId="0C681CF8" w14:textId="77777777" w:rsidR="001C2647" w:rsidRDefault="001C2647"/>
          <w:p w14:paraId="112BFBA3" w14:textId="77777777" w:rsidR="001C2647" w:rsidRDefault="00E76D97">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0"/>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333DEAD8" w14:textId="77777777" w:rsidR="001C2647" w:rsidRDefault="00E76D97">
      <w:pPr>
        <w:spacing w:beforeLines="50" w:before="163" w:after="160"/>
        <w:jc w:val="both"/>
      </w:pPr>
      <w:r>
        <w:rPr>
          <w:rFonts w:ascii="Calibri" w:hAnsi="Calibri" w:cs="Calibri"/>
        </w:rPr>
        <w:t>The Group has adopted environmental and social risk management measures to ensure compliance with national laws and regulations on green development governing air and gas pollution, noise emissions, hazardous substances, water and waste discharge, etc.</w:t>
      </w:r>
    </w:p>
    <w:p w14:paraId="696735BC" w14:textId="77777777" w:rsidR="001C2647" w:rsidRDefault="00E76D97">
      <w:pPr>
        <w:spacing w:beforeLines="50" w:before="163" w:after="160"/>
        <w:jc w:val="both"/>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37856243" w14:textId="77777777" w:rsidR="001C2647" w:rsidRDefault="00E76D97">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13176C93" w14:textId="77777777" w:rsidR="001C2647" w:rsidRDefault="00E76D97">
      <w:pPr>
        <w:spacing w:beforeLines="50" w:before="163" w:after="160"/>
        <w:jc w:val="both"/>
      </w:pPr>
      <w:r>
        <w:rPr>
          <w:rFonts w:ascii="Calibri" w:hAnsi="Calibri" w:cs="Calibri"/>
        </w:rPr>
        <w:t>The eligible projects included in the Framework are mainly realized through environmental engineering.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1C2647" w14:paraId="47C3C055" w14:textId="77777777">
        <w:tc>
          <w:tcPr>
            <w:tcW w:w="2088" w:type="dxa"/>
            <w:shd w:val="clear" w:color="auto" w:fill="316729"/>
            <w:vAlign w:val="center"/>
          </w:tcPr>
          <w:p w14:paraId="04ACFAC7" w14:textId="77777777" w:rsidR="001C2647" w:rsidRDefault="001C2647">
            <w:pPr>
              <w:jc w:val="center"/>
            </w:pPr>
          </w:p>
        </w:tc>
        <w:tc>
          <w:tcPr>
            <w:tcW w:w="2088" w:type="dxa"/>
            <w:shd w:val="clear" w:color="auto" w:fill="316729"/>
            <w:vAlign w:val="center"/>
          </w:tcPr>
          <w:p w14:paraId="7B1D60AF" w14:textId="77777777" w:rsidR="001C2647" w:rsidRDefault="00E76D97">
            <w:pPr>
              <w:jc w:val="center"/>
            </w:pPr>
            <w:r>
              <w:rPr>
                <w:rFonts w:ascii="Calibri" w:hAnsi="Calibri" w:cs="Calibri"/>
                <w:b/>
                <w:color w:val="FFFFFF"/>
              </w:rPr>
              <w:t>Water</w:t>
            </w:r>
          </w:p>
        </w:tc>
        <w:tc>
          <w:tcPr>
            <w:tcW w:w="2088" w:type="dxa"/>
            <w:shd w:val="clear" w:color="auto" w:fill="316729"/>
            <w:vAlign w:val="center"/>
          </w:tcPr>
          <w:p w14:paraId="311302DA" w14:textId="77777777" w:rsidR="001C2647" w:rsidRDefault="00E76D97">
            <w:pPr>
              <w:jc w:val="center"/>
            </w:pPr>
            <w:r>
              <w:rPr>
                <w:rFonts w:ascii="Calibri" w:hAnsi="Calibri" w:cs="Calibri"/>
                <w:b/>
                <w:color w:val="FFFFFF"/>
              </w:rPr>
              <w:t>Wastes</w:t>
            </w:r>
          </w:p>
        </w:tc>
        <w:tc>
          <w:tcPr>
            <w:tcW w:w="2088" w:type="dxa"/>
            <w:shd w:val="clear" w:color="auto" w:fill="316729"/>
            <w:vAlign w:val="center"/>
          </w:tcPr>
          <w:p w14:paraId="4161209D" w14:textId="77777777" w:rsidR="001C2647" w:rsidRDefault="00E76D97">
            <w:pPr>
              <w:jc w:val="center"/>
            </w:pPr>
            <w:r>
              <w:rPr>
                <w:rFonts w:ascii="Calibri" w:hAnsi="Calibri" w:cs="Calibri"/>
                <w:b/>
                <w:color w:val="FFFFFF"/>
              </w:rPr>
              <w:t>Noise</w:t>
            </w:r>
          </w:p>
        </w:tc>
        <w:tc>
          <w:tcPr>
            <w:tcW w:w="2088" w:type="dxa"/>
            <w:shd w:val="clear" w:color="auto" w:fill="316729"/>
            <w:vAlign w:val="center"/>
          </w:tcPr>
          <w:p w14:paraId="462D0273" w14:textId="77777777" w:rsidR="001C2647" w:rsidRDefault="00E76D97">
            <w:pPr>
              <w:jc w:val="center"/>
            </w:pPr>
            <w:r>
              <w:rPr>
                <w:rFonts w:ascii="Calibri" w:hAnsi="Calibri" w:cs="Calibri"/>
                <w:b/>
                <w:color w:val="FFFFFF"/>
              </w:rPr>
              <w:t>Air</w:t>
            </w:r>
          </w:p>
        </w:tc>
      </w:tr>
      <w:tr w:rsidR="001C2647" w14:paraId="2D448809" w14:textId="77777777">
        <w:tc>
          <w:tcPr>
            <w:tcW w:w="0" w:type="auto"/>
            <w:tcBorders>
              <w:bottom w:val="dotted" w:sz="3" w:space="0" w:color="275317"/>
            </w:tcBorders>
            <w:shd w:val="clear" w:color="auto" w:fill="F4F9EB"/>
            <w:vAlign w:val="center"/>
          </w:tcPr>
          <w:p w14:paraId="3BB64C74" w14:textId="77777777" w:rsidR="001C2647" w:rsidRDefault="00E76D97">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5B9FD43B" w14:textId="77777777" w:rsidR="001C2647" w:rsidRDefault="00E76D97">
            <w:pPr>
              <w:numPr>
                <w:ilvl w:val="0"/>
                <w:numId w:val="2"/>
              </w:numPr>
              <w:ind w:left="240" w:hanging="300"/>
            </w:pPr>
            <w:r>
              <w:rPr>
                <w:rFonts w:ascii="Calibri" w:hAnsi="Calibri" w:cs="Calibri"/>
                <w:color w:val="0D381F"/>
                <w:shd w:val="clear" w:color="auto" w:fill="F4F9EB"/>
              </w:rPr>
              <w:t>Production wastewater</w:t>
            </w:r>
          </w:p>
          <w:p w14:paraId="1D9DD053" w14:textId="77777777" w:rsidR="001C2647" w:rsidRDefault="00E76D97">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4A4DC16A" w14:textId="77777777" w:rsidR="001C2647" w:rsidRDefault="00E76D97">
            <w:pPr>
              <w:numPr>
                <w:ilvl w:val="0"/>
                <w:numId w:val="2"/>
              </w:numPr>
              <w:ind w:left="240" w:hanging="300"/>
            </w:pPr>
            <w:r>
              <w:rPr>
                <w:rFonts w:ascii="Calibri" w:hAnsi="Calibri" w:cs="Calibri"/>
                <w:color w:val="0D381F"/>
                <w:shd w:val="clear" w:color="auto" w:fill="F4F9EB"/>
              </w:rPr>
              <w:t>Construction waste</w:t>
            </w:r>
          </w:p>
          <w:p w14:paraId="2401E15E" w14:textId="77777777" w:rsidR="001C2647" w:rsidRDefault="00E76D97">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772F8F2A" w14:textId="77777777" w:rsidR="001C2647" w:rsidRDefault="00E76D97">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76942B0D" w14:textId="77777777" w:rsidR="001C2647" w:rsidRDefault="00E76D97">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1C2647" w14:paraId="6C17DF26" w14:textId="77777777">
        <w:tc>
          <w:tcPr>
            <w:tcW w:w="0" w:type="auto"/>
            <w:shd w:val="clear" w:color="auto" w:fill="F4F9EB"/>
            <w:vAlign w:val="center"/>
          </w:tcPr>
          <w:p w14:paraId="392393EB" w14:textId="77777777" w:rsidR="001C2647" w:rsidRDefault="00E76D97">
            <w:r>
              <w:rPr>
                <w:rFonts w:ascii="Calibri" w:hAnsi="Calibri" w:cs="Calibri"/>
                <w:b/>
                <w:color w:val="000000"/>
              </w:rPr>
              <w:t>Operation Process</w:t>
            </w:r>
          </w:p>
        </w:tc>
        <w:tc>
          <w:tcPr>
            <w:tcW w:w="0" w:type="auto"/>
            <w:shd w:val="clear" w:color="auto" w:fill="F4F9EB"/>
            <w:vAlign w:val="center"/>
          </w:tcPr>
          <w:p w14:paraId="24EE5F43" w14:textId="77777777" w:rsidR="001C2647" w:rsidRDefault="00E76D97">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67C94C5A" w14:textId="77777777" w:rsidR="001C2647" w:rsidRDefault="00E76D97">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30830FAF" w14:textId="77777777" w:rsidR="001C2647" w:rsidRDefault="00E76D97">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2EFD7123" w14:textId="77777777" w:rsidR="001C2647" w:rsidRDefault="00E76D97">
            <w:pPr>
              <w:numPr>
                <w:ilvl w:val="0"/>
                <w:numId w:val="2"/>
              </w:numPr>
              <w:ind w:left="240" w:hanging="300"/>
            </w:pPr>
            <w:r>
              <w:rPr>
                <w:rFonts w:ascii="Calibri" w:hAnsi="Calibri" w:cs="Calibri"/>
                <w:color w:val="0D381F"/>
                <w:shd w:val="clear" w:color="auto" w:fill="F4F9EB"/>
              </w:rPr>
              <w:t>Exhaust emissions</w:t>
            </w:r>
          </w:p>
          <w:p w14:paraId="4BEA06E8" w14:textId="77777777" w:rsidR="001C2647" w:rsidRDefault="00E76D97">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6AD8B215" w14:textId="77777777" w:rsidR="001C2647" w:rsidRDefault="00E76D97">
      <w:pPr>
        <w:spacing w:beforeLines="50" w:before="163" w:after="160"/>
        <w:jc w:val="both"/>
      </w:pPr>
      <w:r>
        <w:rPr>
          <w:rFonts w:ascii="Calibri" w:hAnsi="Calibri" w:cs="Calibri"/>
        </w:rPr>
        <w:t>The Group has 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1634C472" w14:textId="3037C91B" w:rsidR="001C2647" w:rsidRDefault="00E76D97">
      <w:pPr>
        <w:spacing w:beforeLines="50" w:before="163" w:after="160"/>
        <w:jc w:val="both"/>
      </w:pPr>
      <w:r>
        <w:rPr>
          <w:rFonts w:ascii="Calibri" w:hAnsi="Calibri" w:cs="Calibri"/>
        </w:rPr>
        <w:t xml:space="preserve">Social risks related to the eligible projects mentioned above are expected to remain at a low level. In particular, the eligible projects would have negative impacts on </w:t>
      </w:r>
      <w:r w:rsidR="005E49DA">
        <w:rPr>
          <w:rFonts w:ascii="Calibri" w:hAnsi="Calibri" w:cs="Calibri"/>
        </w:rPr>
        <w:t xml:space="preserve">neither </w:t>
      </w:r>
      <w:proofErr w:type="gramStart"/>
      <w:r>
        <w:rPr>
          <w:rFonts w:ascii="Calibri" w:hAnsi="Calibri" w:cs="Calibri"/>
        </w:rPr>
        <w:t>cultures</w:t>
      </w:r>
      <w:proofErr w:type="gramEnd"/>
      <w:r>
        <w:rPr>
          <w:rFonts w:ascii="Calibri" w:hAnsi="Calibri" w:cs="Calibri"/>
        </w:rPr>
        <w:t>, living habits, employment nor the income of surrounding people. The eligible projects in Nanyang City are expected to improve water quality and restore aquatic ecosystems, benefiting the local community’s health and environment.</w:t>
      </w:r>
    </w:p>
    <w:p w14:paraId="016103CA" w14:textId="77777777" w:rsidR="001C2647" w:rsidRDefault="00E76D97">
      <w:pPr>
        <w:spacing w:beforeLines="50" w:before="163" w:after="160"/>
        <w:jc w:val="both"/>
      </w:pPr>
      <w:r>
        <w:rPr>
          <w:rFonts w:ascii="Calibri" w:hAnsi="Calibri" w:cs="Calibri"/>
        </w:rPr>
        <w:t xml:space="preserve">During the construction of eligible projects, some projects may raise public concerns about environmental pollution, health impacts, etc., especially when the project site is close to a residential area, which may lead </w:t>
      </w:r>
      <w:r>
        <w:rPr>
          <w:rFonts w:ascii="Calibri" w:hAnsi="Calibri" w:cs="Calibri"/>
        </w:rPr>
        <w:lastRenderedPageBreak/>
        <w:t>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01DAFC9B" w14:textId="77777777" w:rsidR="001C2647" w:rsidRDefault="00E76D97">
      <w:pPr>
        <w:spacing w:beforeLines="50" w:before="163" w:after="160"/>
        <w:jc w:val="both"/>
      </w:pPr>
      <w:r>
        <w:rPr>
          <w:rFonts w:ascii="Calibri" w:hAnsi="Calibri" w:cs="Calibri"/>
        </w:rPr>
        <w:t>The following outlines the associations and standards applied in the assessment process. To enhance robustness, CCXGFI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1C2647" w14:paraId="18490BF9" w14:textId="77777777">
        <w:tc>
          <w:tcPr>
            <w:tcW w:w="6840" w:type="dxa"/>
            <w:shd w:val="clear" w:color="auto" w:fill="316729"/>
            <w:vAlign w:val="center"/>
          </w:tcPr>
          <w:p w14:paraId="49197DD5" w14:textId="77777777" w:rsidR="001C2647" w:rsidRDefault="00E76D97">
            <w:pPr>
              <w:jc w:val="center"/>
            </w:pPr>
            <w:r>
              <w:rPr>
                <w:rFonts w:ascii="Calibri" w:hAnsi="Calibri" w:cs="Calibri"/>
                <w:b/>
                <w:color w:val="FFFFFF"/>
              </w:rPr>
              <w:t>Association</w:t>
            </w:r>
          </w:p>
        </w:tc>
        <w:tc>
          <w:tcPr>
            <w:tcW w:w="4600" w:type="dxa"/>
            <w:shd w:val="clear" w:color="auto" w:fill="316729"/>
            <w:vAlign w:val="center"/>
          </w:tcPr>
          <w:p w14:paraId="71FD2A34" w14:textId="77777777" w:rsidR="001C2647" w:rsidRDefault="00E76D97">
            <w:pPr>
              <w:jc w:val="center"/>
            </w:pPr>
            <w:r>
              <w:rPr>
                <w:rFonts w:ascii="Calibri" w:hAnsi="Calibri" w:cs="Calibri"/>
                <w:b/>
                <w:color w:val="FFFFFF"/>
              </w:rPr>
              <w:t>Standard</w:t>
            </w:r>
          </w:p>
        </w:tc>
      </w:tr>
      <w:tr w:rsidR="001C2647" w14:paraId="1B248A08" w14:textId="77777777">
        <w:tc>
          <w:tcPr>
            <w:tcW w:w="6440" w:type="dxa"/>
            <w:tcBorders>
              <w:bottom w:val="dotted" w:sz="3" w:space="0" w:color="275317"/>
            </w:tcBorders>
            <w:shd w:val="clear" w:color="auto" w:fill="F4F9EB"/>
            <w:vAlign w:val="center"/>
          </w:tcPr>
          <w:p w14:paraId="455D0555" w14:textId="77777777" w:rsidR="001C2647" w:rsidRDefault="00E76D97">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1CA2585C" w14:textId="77777777" w:rsidR="001C2647" w:rsidRDefault="00E76D97">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1C2647" w14:paraId="5EEEC98D" w14:textId="77777777">
        <w:tc>
          <w:tcPr>
            <w:tcW w:w="6440" w:type="dxa"/>
            <w:tcBorders>
              <w:bottom w:val="dotted" w:sz="3" w:space="0" w:color="275317"/>
            </w:tcBorders>
            <w:shd w:val="clear" w:color="auto" w:fill="F4F9EB"/>
            <w:vAlign w:val="center"/>
          </w:tcPr>
          <w:p w14:paraId="63D008C1" w14:textId="77777777" w:rsidR="001C2647" w:rsidRDefault="00E76D97">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3EECC8A1" w14:textId="77777777" w:rsidR="001C2647" w:rsidRDefault="00E76D97">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1CD98D46" w14:textId="77777777" w:rsidR="001C2647" w:rsidRDefault="00E76D97">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610D8687" w14:textId="77777777" w:rsidR="001C2647" w:rsidRDefault="00E76D97">
            <w:pPr>
              <w:numPr>
                <w:ilvl w:val="0"/>
                <w:numId w:val="2"/>
              </w:numPr>
              <w:ind w:left="240" w:hanging="300"/>
              <w:jc w:val="both"/>
            </w:pPr>
            <w:r>
              <w:rPr>
                <w:rFonts w:ascii="Calibri" w:hAnsi="Calibri" w:cs="Calibri"/>
                <w:color w:val="0D381F"/>
                <w:shd w:val="clear" w:color="auto" w:fill="F4F9EB"/>
              </w:rPr>
              <w:t>Green Loan Principles (GLP) 2023</w:t>
            </w:r>
          </w:p>
        </w:tc>
      </w:tr>
      <w:tr w:rsidR="001C2647" w14:paraId="1AAD9AE8" w14:textId="77777777">
        <w:tc>
          <w:tcPr>
            <w:tcW w:w="6440" w:type="dxa"/>
            <w:shd w:val="clear" w:color="auto" w:fill="F4F9EB"/>
            <w:vAlign w:val="center"/>
          </w:tcPr>
          <w:p w14:paraId="09B6FE44" w14:textId="77777777" w:rsidR="001C2647" w:rsidRDefault="00E76D97">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4C453A96" w14:textId="77777777" w:rsidR="001C2647" w:rsidRDefault="00E76D97">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16E57C10" w14:textId="77777777" w:rsidR="001C2647" w:rsidRDefault="00E76D97">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7CD5370B" w14:textId="77777777" w:rsidR="001C2647" w:rsidRDefault="00E76D97">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68"/>
        <w:gridCol w:w="7272"/>
      </w:tblGrid>
      <w:tr w:rsidR="001C2647" w14:paraId="1BC65275" w14:textId="77777777">
        <w:tc>
          <w:tcPr>
            <w:tcW w:w="3600" w:type="dxa"/>
            <w:shd w:val="clear" w:color="auto" w:fill="316729"/>
            <w:vAlign w:val="center"/>
          </w:tcPr>
          <w:p w14:paraId="111C7E24" w14:textId="77777777" w:rsidR="001C2647" w:rsidRDefault="00E76D97">
            <w:pPr>
              <w:jc w:val="center"/>
            </w:pPr>
            <w:r>
              <w:rPr>
                <w:rFonts w:ascii="Calibri" w:hAnsi="Calibri" w:cs="Calibri"/>
                <w:b/>
                <w:color w:val="FFFFFF"/>
              </w:rPr>
              <w:t>Catalogue</w:t>
            </w:r>
          </w:p>
        </w:tc>
        <w:tc>
          <w:tcPr>
            <w:tcW w:w="7840" w:type="dxa"/>
            <w:shd w:val="clear" w:color="auto" w:fill="316729"/>
            <w:vAlign w:val="center"/>
          </w:tcPr>
          <w:p w14:paraId="0D1FE5FA" w14:textId="77777777" w:rsidR="001C2647" w:rsidRDefault="00E76D97">
            <w:pPr>
              <w:jc w:val="center"/>
            </w:pPr>
            <w:r>
              <w:rPr>
                <w:rFonts w:ascii="Calibri" w:hAnsi="Calibri" w:cs="Calibri"/>
                <w:b/>
                <w:color w:val="FFFFFF"/>
              </w:rPr>
              <w:t>Program</w:t>
            </w:r>
          </w:p>
        </w:tc>
      </w:tr>
      <w:tr w:rsidR="001C2647" w14:paraId="22D76C29" w14:textId="77777777">
        <w:tc>
          <w:tcPr>
            <w:tcW w:w="2600" w:type="dxa"/>
            <w:shd w:val="clear" w:color="auto" w:fill="F4F9EB"/>
            <w:vAlign w:val="center"/>
          </w:tcPr>
          <w:p w14:paraId="2256138B" w14:textId="77777777" w:rsidR="001C2647" w:rsidRDefault="00E76D97">
            <w:pPr>
              <w:numPr>
                <w:ilvl w:val="0"/>
                <w:numId w:val="2"/>
              </w:numPr>
              <w:ind w:left="240" w:hanging="300"/>
              <w:jc w:val="both"/>
            </w:pPr>
            <w:r>
              <w:rPr>
                <w:rFonts w:ascii="Calibri" w:hAnsi="Calibri" w:cs="Calibri"/>
                <w:b/>
                <w:color w:val="0D381F"/>
                <w:shd w:val="clear" w:color="auto" w:fill="F4F9EB"/>
              </w:rPr>
              <w:t>GBEPC2021 – 4.2.1.6</w:t>
            </w:r>
          </w:p>
        </w:tc>
        <w:tc>
          <w:tcPr>
            <w:tcW w:w="8840" w:type="dxa"/>
            <w:shd w:val="clear" w:color="auto" w:fill="F4F9EB"/>
            <w:vAlign w:val="center"/>
          </w:tcPr>
          <w:p w14:paraId="5B388872" w14:textId="77777777" w:rsidR="001C2647" w:rsidRDefault="00E76D97">
            <w:pPr>
              <w:numPr>
                <w:ilvl w:val="0"/>
                <w:numId w:val="2"/>
              </w:numPr>
              <w:ind w:left="240" w:hanging="300"/>
              <w:jc w:val="both"/>
            </w:pPr>
            <w:r>
              <w:rPr>
                <w:rFonts w:ascii="Calibri" w:hAnsi="Calibri" w:cs="Calibri"/>
                <w:color w:val="0D381F"/>
                <w:shd w:val="clear" w:color="auto" w:fill="F4F9EB"/>
              </w:rPr>
              <w:t>Protection and Restoration of Rivers, Lakes, and Wetlands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1"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3285"/>
        <w:gridCol w:w="7155"/>
      </w:tblGrid>
      <w:tr w:rsidR="001C2647" w14:paraId="4F4B2071" w14:textId="77777777">
        <w:tc>
          <w:tcPr>
            <w:tcW w:w="0" w:type="auto"/>
            <w:shd w:val="clear" w:color="auto" w:fill="316729"/>
            <w:vAlign w:val="center"/>
          </w:tcPr>
          <w:p w14:paraId="3D5D2634" w14:textId="77777777" w:rsidR="001C2647" w:rsidRDefault="00E76D97">
            <w:pPr>
              <w:jc w:val="center"/>
            </w:pPr>
            <w:r>
              <w:rPr>
                <w:rFonts w:ascii="Calibri" w:hAnsi="Calibri" w:cs="Calibri"/>
                <w:b/>
                <w:color w:val="FFFFFF"/>
              </w:rPr>
              <w:t>Project Category</w:t>
            </w:r>
          </w:p>
        </w:tc>
        <w:tc>
          <w:tcPr>
            <w:tcW w:w="0" w:type="auto"/>
            <w:shd w:val="clear" w:color="auto" w:fill="316729"/>
            <w:vAlign w:val="center"/>
          </w:tcPr>
          <w:p w14:paraId="398F7368" w14:textId="77777777" w:rsidR="001C2647" w:rsidRDefault="00E76D97">
            <w:pPr>
              <w:jc w:val="center"/>
            </w:pPr>
            <w:r>
              <w:rPr>
                <w:rFonts w:ascii="Calibri" w:hAnsi="Calibri" w:cs="Calibri"/>
                <w:b/>
                <w:color w:val="FFFFFF"/>
              </w:rPr>
              <w:t>Impact Indicator</w:t>
            </w:r>
          </w:p>
        </w:tc>
      </w:tr>
      <w:tr w:rsidR="001C2647" w14:paraId="4B29600E" w14:textId="77777777">
        <w:tc>
          <w:tcPr>
            <w:tcW w:w="0" w:type="auto"/>
            <w:shd w:val="clear" w:color="auto" w:fill="F4F9EB"/>
            <w:vAlign w:val="center"/>
          </w:tcPr>
          <w:p w14:paraId="102869B8" w14:textId="77777777" w:rsidR="001C2647" w:rsidRDefault="00E76D97">
            <w:pPr>
              <w:jc w:val="center"/>
            </w:pPr>
            <w:r>
              <w:rPr>
                <w:rFonts w:ascii="Calibri" w:hAnsi="Calibri" w:cs="Calibri"/>
                <w:b/>
                <w:color w:val="0D381F"/>
              </w:rPr>
              <w:t>Sustainable Water and Wastewater Management</w:t>
            </w:r>
          </w:p>
        </w:tc>
        <w:tc>
          <w:tcPr>
            <w:tcW w:w="0" w:type="auto"/>
            <w:shd w:val="clear" w:color="auto" w:fill="F4F9EB"/>
            <w:vAlign w:val="center"/>
          </w:tcPr>
          <w:p w14:paraId="796C6313" w14:textId="77777777" w:rsidR="001C2647" w:rsidRDefault="00E76D97">
            <w:pPr>
              <w:numPr>
                <w:ilvl w:val="0"/>
                <w:numId w:val="2"/>
              </w:numPr>
              <w:ind w:left="240" w:hanging="300"/>
            </w:pPr>
            <w:r>
              <w:rPr>
                <w:rFonts w:ascii="Calibri" w:hAnsi="Calibri" w:cs="Calibri"/>
                <w:color w:val="0D381F"/>
                <w:shd w:val="clear" w:color="auto" w:fill="F4F9EB"/>
              </w:rPr>
              <w:t>Area covered by sustainable land and water resources management practices (in hectares)</w:t>
            </w:r>
          </w:p>
          <w:p w14:paraId="4E21C8B0" w14:textId="77777777" w:rsidR="001C2647" w:rsidRDefault="00E76D97">
            <w:pPr>
              <w:numPr>
                <w:ilvl w:val="0"/>
                <w:numId w:val="2"/>
              </w:numPr>
              <w:ind w:left="240" w:hanging="300"/>
            </w:pPr>
            <w:r>
              <w:rPr>
                <w:rFonts w:ascii="Calibri" w:hAnsi="Calibri" w:cs="Calibri"/>
                <w:color w:val="0D381F"/>
                <w:shd w:val="clear" w:color="auto" w:fill="F4F9EB"/>
              </w:rPr>
              <w:t>Area of wetlands restored or newly established (in hectares)</w:t>
            </w:r>
          </w:p>
          <w:p w14:paraId="011CDA4A" w14:textId="77777777" w:rsidR="001C2647" w:rsidRDefault="00E76D97">
            <w:pPr>
              <w:numPr>
                <w:ilvl w:val="0"/>
                <w:numId w:val="2"/>
              </w:numPr>
              <w:ind w:left="240" w:hanging="300"/>
            </w:pPr>
            <w:r>
              <w:rPr>
                <w:rFonts w:ascii="Calibri" w:hAnsi="Calibri" w:cs="Calibri"/>
                <w:color w:val="0D381F"/>
                <w:shd w:val="clear" w:color="auto" w:fill="F4F9EB"/>
              </w:rPr>
              <w:t>Annual absolute (gross) amount of raw/untreated sewage sludge that is treated and disposed of (in tonnes of dry solids p.a.)</w:t>
            </w:r>
          </w:p>
          <w:p w14:paraId="4AEEEDE6" w14:textId="77777777" w:rsidR="001C2647" w:rsidRDefault="00E76D97">
            <w:pPr>
              <w:numPr>
                <w:ilvl w:val="0"/>
                <w:numId w:val="2"/>
              </w:numPr>
              <w:ind w:left="240" w:hanging="300"/>
            </w:pPr>
            <w:r>
              <w:rPr>
                <w:rFonts w:ascii="Calibri" w:hAnsi="Calibri" w:cs="Calibri"/>
                <w:color w:val="0D381F"/>
                <w:shd w:val="clear" w:color="auto" w:fill="F4F9EB"/>
              </w:rPr>
              <w:t>Annual absolute (gross) amount of sludge that is reused (in tonnes of dry solids p.a.)</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746D86E">
                <wp:simplePos x="0" y="0"/>
                <wp:positionH relativeFrom="margin">
                  <wp:align>left</wp:align>
                </wp:positionH>
                <wp:positionV relativeFrom="paragraph">
                  <wp:posOffset>207010</wp:posOffset>
                </wp:positionV>
                <wp:extent cx="6653463" cy="7239000"/>
                <wp:effectExtent l="0" t="0" r="14605" b="19050"/>
                <wp:wrapNone/>
                <wp:docPr id="6" name="TextBox 5"/>
                <wp:cNvGraphicFramePr/>
                <a:graphic xmlns:a="http://schemas.openxmlformats.org/drawingml/2006/main">
                  <a:graphicData uri="http://schemas.microsoft.com/office/word/2010/wordprocessingShape">
                    <wps:wsp>
                      <wps:cNvSpPr txBox="1"/>
                      <wps:spPr>
                        <a:xfrm>
                          <a:off x="0" y="0"/>
                          <a:ext cx="6653463" cy="723900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noAutofit/>
                      </wps:bodyPr>
                    </wps:wsp>
                  </a:graphicData>
                </a:graphic>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" type="#_x0000_t202" style="position:absolute;margin-left:0;margin-top:16.3pt;width:523.9pt;height:57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id="TextBox 5" o:spid="_x0000_s1093" strokecolor="#787878" filled="f">
                <v:textbox>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w10:wrap anchorx="margin"/>
              </v:shape>
            </w:pict>
          </mc:Fallback>
        </mc:AlternateContent>
      </w:r>
    </w:p>
    <w:p w14:paraId="55BBDADE" w14:textId="63D2F0E8" w:rsidR="00723570" w:rsidRDefault="00723570"/>
    <w:sectPr w:rsidR="00723570">
      <w:headerReference w:type="default" r:id="rId22"/>
      <w:footerReference w:type="even" r:id="rId23"/>
      <w:footerReference w:type="default" r:id="rId24"/>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0BE58" w14:textId="77777777" w:rsidR="007B395B" w:rsidRDefault="007B395B">
      <w:r>
        <w:separator/>
      </w:r>
    </w:p>
  </w:endnote>
  <w:endnote w:type="continuationSeparator" w:id="0">
    <w:p w14:paraId="52359778" w14:textId="77777777" w:rsidR="007B395B" w:rsidRDefault="007B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CD16D1">
          <w:rPr>
            <w:rStyle w:val="af4"/>
            <w:rFonts w:ascii="Calibri" w:hAnsi="Calibri" w:cs="Calibri"/>
            <w:noProof/>
            <w:color w:val="A6A6A6" w:themeColor="background1" w:themeShade="A6"/>
            <w:sz w:val="13"/>
            <w:szCs w:val="13"/>
          </w:rPr>
          <w:t>2</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7B395B"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Nanyang Urban Investment Holdings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Nanyang Urban Investment Holdings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7B395B">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March 10,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5D73927FB34C4D468F08EE30AC49481E"/>
                        </w:placeholder>
                        <w:showingPlcHdr/>
                        <w15:appearance w15:val="hidden"/>
                      </w:sdtPr>
                      <w:sdtContent>
                        <w:r>
                          <w:rPr>
                            <w:rFonts w:ascii="Calibri" w:hAnsi="Calibri" w:cs="Calibri"/>
                            <w:color w:val="b5b5b5"/>
                            <w:sz w:val="15"/>
                            <w:szCs w:val="15"/>
                          </w:rPr>
                          <w:t>March 10, 2025</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6346" w14:textId="77777777" w:rsidR="007B395B" w:rsidRDefault="007B395B">
      <w:r>
        <w:separator/>
      </w:r>
    </w:p>
  </w:footnote>
  <w:footnote w:type="continuationSeparator" w:id="0">
    <w:p w14:paraId="24C11B31" w14:textId="77777777" w:rsidR="007B395B" w:rsidRDefault="007B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mo="http://schemas.microsoft.com/office/mac/office/2008/main" xmlns:mv="urn:schemas-microsoft-com:mac:vml" xmlns:w16sdtfl="http://schemas.microsoft.com/office/word/2024/wordml/sdtformatlock" xmlns:w16sdtdh="http://schemas.microsoft.com/office/word/2020/wordml/sdtdatahash" xmlns:w16du="http://schemas.microsoft.com/office/word/2023/wordml/word16du" xmlns:oel="http://schemas.microsoft.com/office/2019/extlst">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mo="http://schemas.microsoft.com/office/mac/office/2008/main" xmlns:mv="urn:schemas-microsoft-com:mac:vml" xmlns:w16sdtfl="http://schemas.microsoft.com/office/word/2024/wordml/sdtformatlock" xmlns:w16sdtdh="http://schemas.microsoft.com/office/word/2020/wordml/sdtdatahash" xmlns:w16du="http://schemas.microsoft.com/office/word/2023/wordml/word16du" xmlns:oel="http://schemas.microsoft.com/office/2019/extlst">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4pt;height:14pt;visibility:visible;mso-wrap-style:square" o:bullet="t">
        <v:imagedata r:id="rId1" o:title=""/>
      </v:shape>
    </w:pict>
  </w:numPicBullet>
  <w:numPicBullet w:numPicBulletId="1">
    <w:pict>
      <v:shape w14:anchorId="591255BA" id="_x0000_i1067" type="#_x0000_t75" style="width:9pt;height:10pt;visibility:visible;mso-wrap-style:square"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3D2"/>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A1348"/>
    <w:rsid w:val="000B02FE"/>
    <w:rsid w:val="000B0ED2"/>
    <w:rsid w:val="000B35C4"/>
    <w:rsid w:val="000B555F"/>
    <w:rsid w:val="000B55F7"/>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25C1"/>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2647"/>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6B1"/>
    <w:rsid w:val="004109CA"/>
    <w:rsid w:val="00412EB8"/>
    <w:rsid w:val="00415A97"/>
    <w:rsid w:val="0041645D"/>
    <w:rsid w:val="00417D9F"/>
    <w:rsid w:val="0042197D"/>
    <w:rsid w:val="00422B6A"/>
    <w:rsid w:val="00427529"/>
    <w:rsid w:val="00432F55"/>
    <w:rsid w:val="00433F04"/>
    <w:rsid w:val="0043403A"/>
    <w:rsid w:val="00442B9F"/>
    <w:rsid w:val="004436AF"/>
    <w:rsid w:val="0044648E"/>
    <w:rsid w:val="00454D87"/>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49DA"/>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34664"/>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395B"/>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08B0"/>
    <w:rsid w:val="0080379D"/>
    <w:rsid w:val="0080530D"/>
    <w:rsid w:val="0080682F"/>
    <w:rsid w:val="0081027A"/>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7635C"/>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24F5"/>
    <w:rsid w:val="00A530A8"/>
    <w:rsid w:val="00A55AA6"/>
    <w:rsid w:val="00A57817"/>
    <w:rsid w:val="00A606A6"/>
    <w:rsid w:val="00A6161B"/>
    <w:rsid w:val="00A62C72"/>
    <w:rsid w:val="00A63138"/>
    <w:rsid w:val="00A6489D"/>
    <w:rsid w:val="00A65462"/>
    <w:rsid w:val="00A66AE3"/>
    <w:rsid w:val="00A70E63"/>
    <w:rsid w:val="00A75F4B"/>
    <w:rsid w:val="00A80B07"/>
    <w:rsid w:val="00A833B6"/>
    <w:rsid w:val="00A84A66"/>
    <w:rsid w:val="00A90866"/>
    <w:rsid w:val="00A90DB7"/>
    <w:rsid w:val="00A91DC7"/>
    <w:rsid w:val="00A957E0"/>
    <w:rsid w:val="00A96512"/>
    <w:rsid w:val="00AA2757"/>
    <w:rsid w:val="00AA2ACD"/>
    <w:rsid w:val="00AA36F7"/>
    <w:rsid w:val="00AA3733"/>
    <w:rsid w:val="00AA3E7E"/>
    <w:rsid w:val="00AA6BF2"/>
    <w:rsid w:val="00AB09DC"/>
    <w:rsid w:val="00AB1229"/>
    <w:rsid w:val="00AB27A5"/>
    <w:rsid w:val="00AB5ED9"/>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16D1"/>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07910"/>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1652"/>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D97"/>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cxgfi.com/" TargetMode="Externa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5.png"/><Relationship Id="rId4"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6EC2F-A5B4-7845-9BB0-CEF08F52C271}">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4133</Words>
  <Characters>23559</Characters>
  <Application>Microsoft Office Word</Application>
  <DocSecurity>0</DocSecurity>
  <Lines>196</Lines>
  <Paragraphs>55</Paragraphs>
  <ScaleCrop>false</ScaleCrop>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15</cp:revision>
  <cp:lastPrinted>2024-09-22T06:23:00Z</cp:lastPrinted>
  <dcterms:created xsi:type="dcterms:W3CDTF">2025-02-28T01:46:00Z</dcterms:created>
  <dcterms:modified xsi:type="dcterms:W3CDTF">2025-03-11T01:58:00Z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